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1446"/>
        <w:rPr>
          <w:rFonts w:ascii="宋体" w:hAnsi="宋体"/>
        </w:rPr>
      </w:pPr>
      <w:r>
        <w:rPr>
          <w:rFonts w:ascii="华文新魏"/>
          <w:b/>
          <w:spacing w:val="-70"/>
          <w:sz w:val="72"/>
          <w:szCs w:val="72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891540</wp:posOffset>
            </wp:positionH>
            <wp:positionV relativeFrom="paragraph">
              <wp:posOffset>127635</wp:posOffset>
            </wp:positionV>
            <wp:extent cx="3466465" cy="1764030"/>
            <wp:effectExtent l="0" t="0" r="0" b="0"/>
            <wp:wrapSquare wrapText="bothSides"/>
            <wp:docPr id="2" name="图片 2" descr="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小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466465" cy="176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ind w:firstLine="0" w:firstLineChars="0"/>
        <w:jc w:val="distribute"/>
        <w:rPr>
          <w:rFonts w:ascii="华文新魏"/>
          <w:b/>
          <w:spacing w:val="-70"/>
          <w:sz w:val="72"/>
          <w:szCs w:val="72"/>
        </w:rPr>
      </w:pPr>
      <w:r>
        <w:rPr>
          <w:rFonts w:ascii="宋体" w:hAnsi="宋体"/>
        </w:rPr>
        <mc:AlternateContent>
          <mc:Choice Requires="wpc">
            <w:drawing>
              <wp:inline distT="0" distB="0" distL="114300" distR="114300">
                <wp:extent cx="5326380" cy="3282315"/>
                <wp:effectExtent l="0" t="0" r="0" b="0"/>
                <wp:docPr id="1" name="画布 1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105" name="文本框 105"/>
                        <wps:cNvSpPr txBox="1"/>
                        <wps:spPr>
                          <a:xfrm>
                            <a:off x="950014" y="286062607"/>
                            <a:ext cx="531695986" cy="26160220"/>
                          </a:xfrm>
                          <a:prstGeom prst="rect">
                            <a:avLst/>
                          </a:prstGeom>
                          <a:solidFill>
                            <a:srgbClr val="C0C0C0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spacing w:before="120" w:after="120"/>
                              </w:pPr>
                            </w:p>
                          </w:txbxContent>
                        </wps:txbx>
                        <wps:bodyPr upright="1"/>
                      </wps:wsp>
                      <wps:wsp>
                        <wps:cNvPr id="106" name="文本框 106"/>
                        <wps:cNvSpPr txBox="1"/>
                        <wps:spPr>
                          <a:xfrm>
                            <a:off x="40191204" y="185991650"/>
                            <a:ext cx="445583392" cy="89850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ind w:firstLine="560"/>
                                <w:jc w:val="center"/>
                                <w:rPr>
                                  <w:rFonts w:ascii="思源宋体 CN" w:hAnsi="思源宋体 CN" w:eastAsia="思源宋体 CN" w:cs="思源宋体 CN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sz w:val="28"/>
                                  <w:szCs w:val="28"/>
                                </w:rPr>
                                <w:t>国泰新点软件股份有限公司</w:t>
                              </w:r>
                            </w:p>
                            <w:p>
                              <w:pPr>
                                <w:jc w:val="center"/>
                                <w:rPr>
                                  <w:rFonts w:ascii="思源宋体 CN" w:hAnsi="思源宋体 CN" w:eastAsia="思源宋体 CN" w:cs="思源宋体 CN"/>
                                  <w:b/>
                                  <w:color w:val="0000FF"/>
                                  <w:szCs w:val="21"/>
                                </w:rPr>
                              </w:pP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szCs w:val="21"/>
                                </w:rPr>
                                <w:t>地址：张家港市杨舍镇江帆路8号</w:t>
                              </w: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b/>
                                  <w:color w:val="0000FF"/>
                                  <w:szCs w:val="21"/>
                                </w:rPr>
                                <w:t>(http://www.epoint.com.cn)</w:t>
                              </w:r>
                            </w:p>
                            <w:p>
                              <w:pPr>
                                <w:jc w:val="center"/>
                                <w:rPr>
                                  <w:rFonts w:ascii="思源宋体 CN" w:hAnsi="思源宋体 CN" w:eastAsia="思源宋体 CN" w:cs="思源宋体 CN"/>
                                  <w:szCs w:val="21"/>
                                </w:rPr>
                              </w:pP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szCs w:val="21"/>
                                </w:rPr>
                                <w:t>电话：0512-58188000传真：0512-58132373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c:wpc>
                  </a:graphicData>
                </a:graphic>
              </wp:inline>
            </w:drawing>
          </mc:Choice>
          <mc:Fallback>
            <w:pict>
              <v:group id="画布 107" o:spid="_x0000_s1026" o:spt="203" style="height:258.45pt;width:419.4pt;" coordsize="5326380,3282315" editas="canvas" o:gfxdata="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">
                <o:lock v:ext="edit" aspectratio="f"/>
                <v:shape id="画布 107" o:spid="_x0000_s1026" style="position:absolute;left:0;top:0;height:3282315;width:5326380;" filled="f" stroked="f" coordsize="21600,21600" o:gfxdata="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EeANB9cA&#10;AAAFAQAADwAAAAAAAAABACAAAAAiAAAAZHJzL2Rvd25yZXYueG1sUEsBAhQAFAAAAAgAh07iQN15&#10;60pZAgAAAQYAAA4AAAAAAAAAAQAgAAAAJgEAAGRycy9lMm9Eb2MueG1sUEsFBgAAAAAGAAYAWQEA&#10;APEFAAAAAA==&#10;">
                  <v:fill on="f" focussize="0,0"/>
                  <v:stroke on="f"/>
                  <v:imagedata o:title=""/>
                  <o:lock v:ext="edit" aspectratio="t"/>
                </v:shape>
                <v:shape id="_x0000_s1026" o:spid="_x0000_s1026" o:spt="202" type="#_x0000_t202" style="position:absolute;left:950014;top:286062607;height:26160220;width:531695986;" fillcolor="#C0C0C0" filled="t" stroked="f" coordsize="21600,21600" o:gfxdata="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">
                  <v:fill on="t" focussize="0,0"/>
                  <v:stroke on="f"/>
                  <v:imagedata o:title=""/>
                  <o:lock v:ext="edit" aspectratio="f"/>
                  <v:textbox>
                    <w:txbxContent>
                      <w:p>
                        <w:pPr>
                          <w:spacing w:before="120" w:after="120"/>
                        </w:pPr>
                      </w:p>
                    </w:txbxContent>
                  </v:textbox>
                </v:shape>
                <v:shape id="_x0000_s1026" o:spid="_x0000_s1026" o:spt="202" type="#_x0000_t202" style="position:absolute;left:40191204;top:185991650;height:89850811;width:445583392;" filled="f" stroked="f" coordsize="21600,21600" o:gfxdata="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ind w:firstLine="560"/>
                          <w:jc w:val="center"/>
                          <w:rPr>
                            <w:rFonts w:ascii="思源宋体 CN" w:hAnsi="思源宋体 CN" w:eastAsia="思源宋体 CN" w:cs="思源宋体 CN"/>
                            <w:sz w:val="28"/>
                            <w:szCs w:val="28"/>
                          </w:rPr>
                        </w:pPr>
                        <w:r>
                          <w:rPr>
                            <w:rFonts w:hint="eastAsia" w:ascii="思源宋体 CN" w:hAnsi="思源宋体 CN" w:eastAsia="思源宋体 CN" w:cs="思源宋体 CN"/>
                            <w:sz w:val="28"/>
                            <w:szCs w:val="28"/>
                          </w:rPr>
                          <w:t>国泰新点软件股份有限公司</w:t>
                        </w:r>
                      </w:p>
                      <w:p>
                        <w:pPr>
                          <w:jc w:val="center"/>
                          <w:rPr>
                            <w:rFonts w:ascii="思源宋体 CN" w:hAnsi="思源宋体 CN" w:eastAsia="思源宋体 CN" w:cs="思源宋体 CN"/>
                            <w:b/>
                            <w:color w:val="0000FF"/>
                            <w:szCs w:val="21"/>
                          </w:rPr>
                        </w:pPr>
                        <w:r>
                          <w:rPr>
                            <w:rFonts w:hint="eastAsia" w:ascii="思源宋体 CN" w:hAnsi="思源宋体 CN" w:eastAsia="思源宋体 CN" w:cs="思源宋体 CN"/>
                            <w:szCs w:val="21"/>
                          </w:rPr>
                          <w:t>地址：张家港市杨舍镇江帆路8号</w:t>
                        </w:r>
                        <w:r>
                          <w:rPr>
                            <w:rFonts w:hint="eastAsia" w:ascii="思源宋体 CN" w:hAnsi="思源宋体 CN" w:eastAsia="思源宋体 CN" w:cs="思源宋体 CN"/>
                            <w:b/>
                            <w:color w:val="0000FF"/>
                            <w:szCs w:val="21"/>
                          </w:rPr>
                          <w:t>(http://www.epoint.com.cn)</w:t>
                        </w:r>
                      </w:p>
                      <w:p>
                        <w:pPr>
                          <w:jc w:val="center"/>
                          <w:rPr>
                            <w:rFonts w:ascii="思源宋体 CN" w:hAnsi="思源宋体 CN" w:eastAsia="思源宋体 CN" w:cs="思源宋体 CN"/>
                            <w:szCs w:val="21"/>
                          </w:rPr>
                        </w:pPr>
                        <w:r>
                          <w:rPr>
                            <w:rFonts w:hint="eastAsia" w:ascii="思源宋体 CN" w:hAnsi="思源宋体 CN" w:eastAsia="思源宋体 CN" w:cs="思源宋体 CN"/>
                            <w:szCs w:val="21"/>
                          </w:rPr>
                          <w:t>电话：0512-58188000传真：0512-58132373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</w:pPr>
    </w:p>
    <w:p>
      <w:pPr>
        <w:pStyle w:val="2"/>
        <w:ind w:firstLine="0" w:firstLineChars="0"/>
      </w:pP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  <w:jc w:val="center"/>
        <w:rPr>
          <w:rFonts w:ascii="思源宋体 CN" w:hAnsi="思源宋体 CN" w:eastAsia="思源宋体 CN" w:cs="思源宋体 CN"/>
          <w:b/>
          <w:sz w:val="52"/>
          <w:szCs w:val="52"/>
        </w:rPr>
      </w:pPr>
      <w:r>
        <w:rPr>
          <w:rFonts w:hint="eastAsia" w:ascii="思源宋体 CN" w:hAnsi="思源宋体 CN" w:eastAsia="思源宋体 CN" w:cs="思源宋体 CN"/>
          <w:b/>
          <w:sz w:val="52"/>
          <w:szCs w:val="52"/>
          <w:lang w:val="en-US" w:eastAsia="zh-CN"/>
        </w:rPr>
        <w:t>承德市</w:t>
      </w:r>
      <w:r>
        <w:rPr>
          <w:rFonts w:hint="eastAsia" w:ascii="思源宋体 CN" w:hAnsi="思源宋体 CN" w:eastAsia="思源宋体 CN" w:cs="思源宋体 CN"/>
          <w:b/>
          <w:sz w:val="52"/>
          <w:szCs w:val="52"/>
        </w:rPr>
        <w:t>不见面开标大厅-主持人</w:t>
      </w:r>
    </w:p>
    <w:p>
      <w:pPr>
        <w:ind w:firstLine="0" w:firstLineChars="0"/>
        <w:jc w:val="center"/>
        <w:rPr>
          <w:rFonts w:ascii="思源宋体 CN" w:hAnsi="思源宋体 CN" w:eastAsia="思源宋体 CN" w:cs="思源宋体 CN"/>
          <w:b/>
          <w:sz w:val="52"/>
          <w:szCs w:val="52"/>
        </w:rPr>
      </w:pPr>
      <w:r>
        <w:rPr>
          <w:rFonts w:hint="eastAsia" w:ascii="思源宋体 CN" w:hAnsi="思源宋体 CN" w:eastAsia="思源宋体 CN" w:cs="思源宋体 CN"/>
          <w:b/>
          <w:sz w:val="52"/>
          <w:szCs w:val="52"/>
        </w:rPr>
        <w:t>操作手册</w:t>
      </w:r>
    </w:p>
    <w:p>
      <w:pPr>
        <w:pStyle w:val="59"/>
        <w:ind w:firstLine="360"/>
        <w:rPr>
          <w:rFonts w:ascii="思源宋体 CN" w:hAnsi="思源宋体 CN" w:eastAsia="思源宋体 CN" w:cs="思源宋体 CN"/>
        </w:rPr>
      </w:pPr>
    </w:p>
    <w:p>
      <w:pPr>
        <w:pStyle w:val="59"/>
        <w:ind w:firstLine="360"/>
        <w:rPr>
          <w:rFonts w:ascii="思源宋体 CN" w:hAnsi="思源宋体 CN" w:eastAsia="思源宋体 CN" w:cs="思源宋体 CN"/>
        </w:rPr>
      </w:pPr>
    </w:p>
    <w:p>
      <w:pPr>
        <w:pStyle w:val="59"/>
        <w:ind w:firstLine="360"/>
        <w:rPr>
          <w:rFonts w:ascii="思源宋体 CN" w:hAnsi="思源宋体 CN" w:eastAsia="思源宋体 CN" w:cs="思源宋体 CN"/>
        </w:rPr>
      </w:pPr>
    </w:p>
    <w:p>
      <w:pPr>
        <w:pStyle w:val="59"/>
        <w:ind w:firstLine="0" w:firstLineChars="0"/>
        <w:rPr>
          <w:rFonts w:ascii="微软雅黑" w:hAnsi="微软雅黑" w:eastAsia="微软雅黑" w:cs="微软雅黑"/>
        </w:rPr>
      </w:pPr>
    </w:p>
    <w:p>
      <w:pPr>
        <w:pStyle w:val="59"/>
        <w:ind w:firstLine="0" w:firstLineChars="0"/>
        <w:rPr>
          <w:rFonts w:ascii="微软雅黑" w:hAnsi="微软雅黑" w:eastAsia="微软雅黑" w:cs="微软雅黑"/>
        </w:rPr>
      </w:pPr>
    </w:p>
    <w:p>
      <w:pPr>
        <w:pStyle w:val="59"/>
        <w:ind w:firstLine="0" w:firstLineChars="0"/>
        <w:rPr>
          <w:rFonts w:ascii="微软雅黑" w:hAnsi="微软雅黑" w:eastAsia="微软雅黑" w:cs="微软雅黑"/>
        </w:rPr>
      </w:pPr>
    </w:p>
    <w:p>
      <w:pPr>
        <w:spacing w:line="240" w:lineRule="auto"/>
        <w:ind w:firstLine="0" w:firstLineChars="0"/>
        <w:jc w:val="center"/>
        <w:rPr>
          <w:rFonts w:ascii="思源宋体 CN" w:hAnsi="思源宋体 CN" w:eastAsia="思源宋体 CN" w:cs="思源宋体 CN"/>
          <w:b/>
          <w:spacing w:val="200"/>
          <w:sz w:val="32"/>
        </w:rPr>
      </w:pPr>
      <w:r>
        <w:rPr>
          <w:rFonts w:hint="eastAsia" w:ascii="思源宋体 CN" w:hAnsi="思源宋体 CN" w:eastAsia="思源宋体 CN" w:cs="思源宋体 CN"/>
          <w:b/>
          <w:spacing w:val="200"/>
          <w:sz w:val="32"/>
        </w:rPr>
        <w:t>目录</w:t>
      </w:r>
    </w:p>
    <w:sdt>
      <w:sdtPr>
        <w:rPr>
          <w:rFonts w:ascii="宋体" w:hAnsi="宋体" w:eastAsia="宋体" w:cs="Times New Roman"/>
          <w:kern w:val="2"/>
          <w:sz w:val="21"/>
          <w:szCs w:val="24"/>
          <w:lang w:val="en-US" w:eastAsia="zh-CN" w:bidi="ar-SA"/>
        </w:rPr>
        <w:id w:val="147468130"/>
        <w15:color w:val="DBDBDB"/>
        <w:docPartObj>
          <w:docPartGallery w:val="Table of Contents"/>
          <w:docPartUnique/>
        </w:docPartObj>
      </w:sdtPr>
      <w:sdtEndPr>
        <w:rPr>
          <w:rFonts w:ascii="思源宋体 CN" w:hAnsi="思源宋体 CN" w:eastAsia="思源宋体 CN" w:cs="思源宋体 CN"/>
          <w:b/>
          <w:kern w:val="2"/>
          <w:sz w:val="21"/>
          <w:szCs w:val="24"/>
          <w:lang w:val="en-US" w:eastAsia="zh-CN" w:bidi="ar-SA"/>
        </w:rPr>
      </w:sdtEndPr>
      <w:sdtContent>
        <w:p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</w:pPr>
        </w:p>
        <w:p>
          <w:pPr>
            <w:pStyle w:val="29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  <w:b/>
            </w:rPr>
            <w:fldChar w:fldCharType="begin"/>
          </w:r>
          <w:r>
            <w:rPr>
              <w:rFonts w:ascii="思源宋体 CN" w:hAnsi="思源宋体 CN" w:eastAsia="思源宋体 CN" w:cs="思源宋体 CN"/>
              <w:b/>
            </w:rPr>
            <w:instrText xml:space="preserve">TOC \o "1-2" \h \u </w:instrText>
          </w:r>
          <w:r>
            <w:rPr>
              <w:rFonts w:ascii="思源宋体 CN" w:hAnsi="思源宋体 CN" w:eastAsia="思源宋体 CN" w:cs="思源宋体 CN"/>
              <w:b/>
            </w:rPr>
            <w:fldChar w:fldCharType="separate"/>
          </w: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_Toc17093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cs="Times New Roman"/>
              <w:bCs/>
              <w:kern w:val="44"/>
              <w:szCs w:val="28"/>
              <w:lang w:val="en-US" w:eastAsia="zh-CN" w:bidi="ar-SA"/>
            </w:rPr>
            <w:t>一、 系统前期准备</w:t>
          </w:r>
          <w:r>
            <w:tab/>
          </w:r>
          <w:r>
            <w:fldChar w:fldCharType="begin"/>
          </w:r>
          <w:r>
            <w:instrText xml:space="preserve"> PAGEREF _Toc17093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>
          <w:pPr>
            <w:pStyle w:val="35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_Toc13759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0"/>
              <w:lang w:val="en-US" w:eastAsia="zh-CN" w:bidi="ar-SA"/>
            </w:rPr>
            <w:t xml:space="preserve">1.1、 </w:t>
          </w:r>
          <w:r>
            <w:rPr>
              <w:rFonts w:ascii="Times New Roman" w:hAnsi="Times New Roman" w:eastAsia="宋体" w:cs="Times New Roman"/>
              <w:bCs/>
              <w:kern w:val="2"/>
              <w:szCs w:val="32"/>
              <w:lang w:val="en-US" w:eastAsia="zh-CN" w:bidi="ar-SA"/>
            </w:rPr>
            <w:t>驱动安装说明</w:t>
          </w:r>
          <w:r>
            <w:tab/>
          </w:r>
          <w:r>
            <w:fldChar w:fldCharType="begin"/>
          </w:r>
          <w:r>
            <w:instrText xml:space="preserve"> PAGEREF _Toc13759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>
          <w:pPr>
            <w:pStyle w:val="35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_Toc17143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0"/>
              <w:lang w:val="en-US" w:eastAsia="zh-CN" w:bidi="ar-SA"/>
            </w:rPr>
            <w:t xml:space="preserve">1.2、 </w:t>
          </w:r>
          <w:r>
            <w:rPr>
              <w:rFonts w:ascii="Times New Roman" w:hAnsi="Times New Roman" w:eastAsia="宋体" w:cs="Times New Roman"/>
              <w:bCs/>
              <w:kern w:val="2"/>
              <w:szCs w:val="32"/>
              <w:lang w:val="en-US" w:eastAsia="zh-CN" w:bidi="ar-SA"/>
            </w:rPr>
            <w:t>证书工具</w:t>
          </w:r>
          <w:r>
            <w:tab/>
          </w:r>
          <w:r>
            <w:fldChar w:fldCharType="begin"/>
          </w:r>
          <w:r>
            <w:instrText xml:space="preserve"> PAGEREF _Toc17143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>
          <w:pPr>
            <w:pStyle w:val="35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_Toc5578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0"/>
              <w:lang w:val="en-US" w:eastAsia="zh-CN" w:bidi="ar-SA"/>
            </w:rPr>
            <w:t xml:space="preserve">1.3、 </w:t>
          </w:r>
          <w:r>
            <w:rPr>
              <w:rFonts w:ascii="Times New Roman" w:hAnsi="Times New Roman" w:eastAsia="宋体" w:cs="Times New Roman"/>
              <w:bCs/>
              <w:kern w:val="2"/>
              <w:szCs w:val="32"/>
              <w:lang w:val="en-US" w:eastAsia="zh-CN" w:bidi="ar-SA"/>
            </w:rPr>
            <w:t>检测工具</w:t>
          </w:r>
          <w:r>
            <w:tab/>
          </w:r>
          <w:r>
            <w:fldChar w:fldCharType="begin"/>
          </w:r>
          <w:r>
            <w:instrText xml:space="preserve"> PAGEREF _Toc5578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>
          <w:pPr>
            <w:pStyle w:val="35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_Toc26379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0"/>
              <w:lang w:val="en-US" w:eastAsia="zh-CN" w:bidi="ar-SA"/>
            </w:rPr>
            <w:t xml:space="preserve">1.4、 </w:t>
          </w:r>
          <w:r>
            <w:rPr>
              <w:rFonts w:ascii="Times New Roman" w:hAnsi="Times New Roman" w:eastAsia="宋体" w:cs="Times New Roman"/>
              <w:bCs/>
              <w:kern w:val="2"/>
              <w:szCs w:val="32"/>
              <w:lang w:val="en-US" w:eastAsia="zh-CN" w:bidi="ar-SA"/>
            </w:rPr>
            <w:t>浏览器配置</w:t>
          </w:r>
          <w:r>
            <w:tab/>
          </w:r>
          <w:r>
            <w:fldChar w:fldCharType="begin"/>
          </w:r>
          <w:r>
            <w:instrText xml:space="preserve"> PAGEREF _Toc26379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>
          <w:pPr>
            <w:pStyle w:val="29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_Toc10889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cs="Times New Roman"/>
              <w:bCs/>
              <w:kern w:val="44"/>
              <w:szCs w:val="28"/>
              <w:lang w:val="en-US" w:eastAsia="zh-CN" w:bidi="ar-SA"/>
            </w:rPr>
            <w:t>二、 虚拟开标大厅主流程</w:t>
          </w:r>
          <w:r>
            <w:tab/>
          </w:r>
          <w:r>
            <w:fldChar w:fldCharType="begin"/>
          </w:r>
          <w:r>
            <w:instrText xml:space="preserve"> PAGEREF _Toc10889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>
          <w:pPr>
            <w:pStyle w:val="35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_Toc15613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0"/>
              <w:lang w:val="en-US" w:eastAsia="zh-CN" w:bidi="ar-SA"/>
            </w:rPr>
            <w:t xml:space="preserve">2.1、 </w:t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2"/>
              <w:lang w:val="en-US" w:eastAsia="zh-CN" w:bidi="ar-SA"/>
            </w:rPr>
            <w:t>登录</w:t>
          </w:r>
          <w:r>
            <w:tab/>
          </w:r>
          <w:r>
            <w:fldChar w:fldCharType="begin"/>
          </w:r>
          <w:r>
            <w:instrText xml:space="preserve"> PAGEREF _Toc15613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>
          <w:pPr>
            <w:pStyle w:val="35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_Toc9928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0"/>
              <w:lang w:val="en-US" w:eastAsia="zh-CN" w:bidi="ar-SA"/>
            </w:rPr>
            <w:t xml:space="preserve">2.2、 </w:t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2"/>
              <w:lang w:val="en-US" w:eastAsia="zh-CN" w:bidi="ar-SA"/>
            </w:rPr>
            <w:t>项目列表页面</w:t>
          </w:r>
          <w:r>
            <w:tab/>
          </w:r>
          <w:r>
            <w:fldChar w:fldCharType="begin"/>
          </w:r>
          <w:r>
            <w:instrText xml:space="preserve"> PAGEREF _Toc9928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>
          <w:pPr>
            <w:pStyle w:val="35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_Toc7712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0"/>
              <w:lang w:val="en-US" w:eastAsia="zh-CN" w:bidi="ar-SA"/>
            </w:rPr>
            <w:t xml:space="preserve">2.3、 </w:t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2"/>
              <w:lang w:val="en-US" w:eastAsia="zh-CN" w:bidi="ar-SA"/>
            </w:rPr>
            <w:t>进入开标大厅</w:t>
          </w:r>
          <w:r>
            <w:tab/>
          </w:r>
          <w:r>
            <w:fldChar w:fldCharType="begin"/>
          </w:r>
          <w:r>
            <w:instrText xml:space="preserve"> PAGEREF _Toc7712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>
          <w:pPr>
            <w:pStyle w:val="35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_Toc4449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0"/>
              <w:lang w:val="en-US" w:eastAsia="zh-CN" w:bidi="ar-SA"/>
            </w:rPr>
            <w:t xml:space="preserve">2.4、 </w:t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2"/>
              <w:lang w:val="en-US" w:eastAsia="zh-CN" w:bidi="ar-SA"/>
            </w:rPr>
            <w:t>等待开标</w:t>
          </w:r>
          <w:r>
            <w:tab/>
          </w:r>
          <w:r>
            <w:fldChar w:fldCharType="begin"/>
          </w:r>
          <w:r>
            <w:instrText xml:space="preserve"> PAGEREF _Toc4449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>
          <w:pPr>
            <w:pStyle w:val="35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_Toc1391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0"/>
              <w:lang w:val="en-US" w:eastAsia="zh-CN" w:bidi="ar-SA"/>
            </w:rPr>
            <w:t xml:space="preserve">2.5、 </w:t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2"/>
              <w:lang w:val="en-US" w:eastAsia="zh-CN" w:bidi="ar-SA"/>
            </w:rPr>
            <w:t>查看投标人</w:t>
          </w:r>
          <w:r>
            <w:tab/>
          </w:r>
          <w:r>
            <w:fldChar w:fldCharType="begin"/>
          </w:r>
          <w:r>
            <w:instrText xml:space="preserve"> PAGEREF _Toc1391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>
          <w:pPr>
            <w:pStyle w:val="35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_Toc29382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0"/>
              <w:lang w:val="en-US" w:eastAsia="zh-CN" w:bidi="ar-SA"/>
            </w:rPr>
            <w:t xml:space="preserve">2.6、 </w:t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2"/>
              <w:lang w:val="en-US" w:eastAsia="zh-CN" w:bidi="ar-SA"/>
            </w:rPr>
            <w:t>标书解密</w:t>
          </w:r>
          <w:r>
            <w:tab/>
          </w:r>
          <w:r>
            <w:fldChar w:fldCharType="begin"/>
          </w:r>
          <w:r>
            <w:instrText xml:space="preserve"> PAGEREF _Toc29382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>
          <w:pPr>
            <w:pStyle w:val="35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_Toc30063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0"/>
              <w:lang w:val="en-US" w:eastAsia="zh-CN" w:bidi="ar-SA"/>
            </w:rPr>
            <w:t xml:space="preserve">2.7、 </w:t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2"/>
              <w:lang w:val="en-US" w:eastAsia="zh-CN" w:bidi="ar-SA"/>
            </w:rPr>
            <w:t>批量导入</w:t>
          </w:r>
          <w:r>
            <w:tab/>
          </w:r>
          <w:r>
            <w:fldChar w:fldCharType="begin"/>
          </w:r>
          <w:r>
            <w:instrText xml:space="preserve"> PAGEREF _Toc30063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>
          <w:pPr>
            <w:pStyle w:val="35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_Toc22486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0"/>
              <w:lang w:val="en-US" w:eastAsia="zh-CN" w:bidi="ar-SA"/>
            </w:rPr>
            <w:t xml:space="preserve">2.8、 </w:t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2"/>
              <w:lang w:val="en-US" w:eastAsia="zh-CN" w:bidi="ar-SA"/>
            </w:rPr>
            <w:t>唱标</w:t>
          </w:r>
          <w:r>
            <w:tab/>
          </w:r>
          <w:r>
            <w:fldChar w:fldCharType="begin"/>
          </w:r>
          <w:r>
            <w:instrText xml:space="preserve"> PAGEREF _Toc22486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>
          <w:pPr>
            <w:pStyle w:val="35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_Toc21039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0"/>
              <w:lang w:val="en-US" w:eastAsia="zh-CN" w:bidi="ar-SA"/>
            </w:rPr>
            <w:t xml:space="preserve">2.9、 </w:t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2"/>
              <w:lang w:val="en-US" w:eastAsia="zh-CN" w:bidi="ar-SA"/>
            </w:rPr>
            <w:t>开标结束</w:t>
          </w:r>
          <w:r>
            <w:tab/>
          </w:r>
          <w:r>
            <w:fldChar w:fldCharType="begin"/>
          </w:r>
          <w:r>
            <w:instrText xml:space="preserve"> PAGEREF _Toc21039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>
          <w:pPr>
            <w:pStyle w:val="29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_Toc7272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cs="Times New Roman"/>
              <w:bCs/>
              <w:kern w:val="44"/>
              <w:szCs w:val="28"/>
              <w:lang w:val="en-US" w:eastAsia="zh-CN" w:bidi="ar-SA"/>
            </w:rPr>
            <w:t>三、 虚拟开标大厅辅助功能</w:t>
          </w:r>
          <w:r>
            <w:tab/>
          </w:r>
          <w:r>
            <w:fldChar w:fldCharType="begin"/>
          </w:r>
          <w:r>
            <w:instrText xml:space="preserve"> PAGEREF _Toc7272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>
          <w:pPr>
            <w:pStyle w:val="35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_Toc30754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0"/>
              <w:lang w:val="en-US" w:eastAsia="zh-CN" w:bidi="ar-SA"/>
            </w:rPr>
            <w:t xml:space="preserve">3.1、 </w:t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2"/>
              <w:lang w:val="en-US" w:eastAsia="zh-CN" w:bidi="ar-SA"/>
            </w:rPr>
            <w:t>语音异议</w:t>
          </w:r>
          <w:r>
            <w:tab/>
          </w:r>
          <w:r>
            <w:fldChar w:fldCharType="begin"/>
          </w:r>
          <w:r>
            <w:instrText xml:space="preserve"> PAGEREF _Toc30754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>
          <w:pPr>
            <w:pStyle w:val="35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_Toc17205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0"/>
              <w:lang w:val="en-US" w:eastAsia="zh-CN" w:bidi="ar-SA"/>
            </w:rPr>
            <w:t xml:space="preserve">3.2、 </w:t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2"/>
              <w:lang w:val="en-US" w:eastAsia="zh-CN" w:bidi="ar-SA"/>
            </w:rPr>
            <w:t>文字异议</w:t>
          </w:r>
          <w:r>
            <w:tab/>
          </w:r>
          <w:r>
            <w:fldChar w:fldCharType="begin"/>
          </w:r>
          <w:r>
            <w:instrText xml:space="preserve"> PAGEREF _Toc17205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>
          <w:pPr>
            <w:pStyle w:val="35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_Toc24294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0"/>
              <w:lang w:val="en-US" w:eastAsia="zh-CN" w:bidi="ar-SA"/>
            </w:rPr>
            <w:t xml:space="preserve">3.3、 </w:t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2"/>
              <w:lang w:val="en-US" w:eastAsia="zh-CN" w:bidi="ar-SA"/>
            </w:rPr>
            <w:t>终止开标</w:t>
          </w:r>
          <w:r>
            <w:tab/>
          </w:r>
          <w:r>
            <w:fldChar w:fldCharType="begin"/>
          </w:r>
          <w:r>
            <w:instrText xml:space="preserve"> PAGEREF _Toc24294 \h </w:instrText>
          </w:r>
          <w:r>
            <w:fldChar w:fldCharType="separate"/>
          </w:r>
          <w:r>
            <w:t>28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>
          <w:pPr>
            <w:pStyle w:val="35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_Toc3591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0"/>
              <w:lang w:val="en-US" w:eastAsia="zh-CN" w:bidi="ar-SA"/>
            </w:rPr>
            <w:t xml:space="preserve">3.4、 </w:t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2"/>
              <w:lang w:val="en-US" w:eastAsia="zh-CN" w:bidi="ar-SA"/>
            </w:rPr>
            <w:t>公告栏</w:t>
          </w:r>
          <w:r>
            <w:tab/>
          </w:r>
          <w:r>
            <w:fldChar w:fldCharType="begin"/>
          </w:r>
          <w:r>
            <w:instrText xml:space="preserve"> PAGEREF _Toc3591 \h </w:instrText>
          </w:r>
          <w:r>
            <w:fldChar w:fldCharType="separate"/>
          </w:r>
          <w:r>
            <w:t>29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>
          <w:pPr>
            <w:pStyle w:val="35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_Toc20282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0"/>
              <w:lang w:val="en-US" w:eastAsia="zh-CN" w:bidi="ar-SA"/>
            </w:rPr>
            <w:t xml:space="preserve">3.5、 </w:t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2"/>
              <w:lang w:val="en-US" w:eastAsia="zh-CN" w:bidi="ar-SA"/>
            </w:rPr>
            <w:t>群聊</w:t>
          </w:r>
          <w:r>
            <w:tab/>
          </w:r>
          <w:r>
            <w:fldChar w:fldCharType="begin"/>
          </w:r>
          <w:r>
            <w:instrText xml:space="preserve"> PAGEREF _Toc20282 \h </w:instrText>
          </w:r>
          <w:r>
            <w:fldChar w:fldCharType="separate"/>
          </w:r>
          <w:r>
            <w:t>30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>
          <w:pPr>
            <w:pStyle w:val="35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_Toc24655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0"/>
              <w:lang w:val="en-US" w:eastAsia="zh-CN" w:bidi="ar-SA"/>
            </w:rPr>
            <w:t xml:space="preserve">3.6、 </w:t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2"/>
              <w:lang w:val="en-US" w:eastAsia="zh-CN" w:bidi="ar-SA"/>
            </w:rPr>
            <w:t>开标小组聊天</w:t>
          </w:r>
          <w:r>
            <w:tab/>
          </w:r>
          <w:r>
            <w:fldChar w:fldCharType="begin"/>
          </w:r>
          <w:r>
            <w:instrText xml:space="preserve"> PAGEREF _Toc24655 \h </w:instrText>
          </w:r>
          <w:r>
            <w:fldChar w:fldCharType="separate"/>
          </w:r>
          <w:r>
            <w:t>32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>
          <w:pPr>
            <w:pStyle w:val="35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_Toc11697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0"/>
              <w:lang w:val="en-US" w:eastAsia="zh-CN" w:bidi="ar-SA"/>
            </w:rPr>
            <w:t xml:space="preserve">3.7、 </w:t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2"/>
              <w:lang w:val="en-US" w:eastAsia="zh-CN" w:bidi="ar-SA"/>
            </w:rPr>
            <w:t>私聊</w:t>
          </w:r>
          <w:r>
            <w:tab/>
          </w:r>
          <w:r>
            <w:fldChar w:fldCharType="begin"/>
          </w:r>
          <w:r>
            <w:instrText xml:space="preserve"> PAGEREF _Toc11697 \h </w:instrText>
          </w:r>
          <w:r>
            <w:fldChar w:fldCharType="separate"/>
          </w:r>
          <w:r>
            <w:t>33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>
          <w:pPr>
            <w:pStyle w:val="35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_Toc1947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0"/>
              <w:lang w:val="en-US" w:eastAsia="zh-CN" w:bidi="ar-SA"/>
            </w:rPr>
            <w:t xml:space="preserve">3.8、 </w:t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2"/>
              <w:lang w:val="en-US" w:eastAsia="zh-CN" w:bidi="ar-SA"/>
            </w:rPr>
            <w:t>人员列表</w:t>
          </w:r>
          <w:r>
            <w:tab/>
          </w:r>
          <w:r>
            <w:fldChar w:fldCharType="begin"/>
          </w:r>
          <w:r>
            <w:instrText xml:space="preserve"> PAGEREF _Toc1947 \h </w:instrText>
          </w:r>
          <w:r>
            <w:fldChar w:fldCharType="separate"/>
          </w:r>
          <w:r>
            <w:t>34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>
          <w:pPr>
            <w:ind w:firstLine="422"/>
            <w:rPr>
              <w:rFonts w:ascii="思源宋体 CN" w:hAnsi="思源宋体 CN" w:eastAsia="思源宋体 CN" w:cs="思源宋体 CN"/>
              <w:b/>
            </w:rPr>
          </w:pPr>
          <w:r>
            <w:rPr>
              <w:rFonts w:ascii="思源宋体 CN" w:hAnsi="思源宋体 CN" w:eastAsia="思源宋体 CN" w:cs="思源宋体 CN"/>
            </w:rPr>
            <w:fldChar w:fldCharType="end"/>
          </w:r>
        </w:p>
      </w:sdtContent>
    </w:sdt>
    <w:p>
      <w:pPr>
        <w:ind w:firstLine="422"/>
        <w:rPr>
          <w:rFonts w:ascii="思源宋体 CN" w:hAnsi="思源宋体 CN" w:eastAsia="思源宋体 CN" w:cs="思源宋体 CN"/>
          <w:b/>
        </w:rPr>
      </w:pPr>
    </w:p>
    <w:p>
      <w:pPr>
        <w:pStyle w:val="2"/>
        <w:ind w:firstLine="0" w:firstLineChars="0"/>
        <w:rPr>
          <w:rFonts w:ascii="思源宋体 CN" w:hAnsi="思源宋体 CN" w:eastAsia="思源宋体 CN" w:cs="思源宋体 CN"/>
          <w:b/>
        </w:rPr>
      </w:pPr>
    </w:p>
    <w:p>
      <w:pPr>
        <w:pStyle w:val="61"/>
        <w:ind w:firstLine="0" w:firstLineChars="0"/>
        <w:jc w:val="center"/>
        <w:rPr>
          <w:rFonts w:ascii="思源宋体 CN" w:hAnsi="思源宋体 CN" w:eastAsia="思源宋体 CN" w:cs="思源宋体 CN"/>
        </w:rPr>
      </w:pPr>
      <w:r>
        <w:rPr>
          <w:rFonts w:ascii="思源宋体 CN" w:hAnsi="思源宋体 CN" w:eastAsia="思源宋体 CN" w:cs="思源宋体 CN"/>
          <w:b/>
          <w:sz w:val="21"/>
          <w:szCs w:val="21"/>
        </w:rPr>
        <w:br w:type="page"/>
      </w:r>
    </w:p>
    <w:p>
      <w:pPr>
        <w:keepNext/>
        <w:keepLines/>
        <w:widowControl w:val="0"/>
        <w:numPr>
          <w:ilvl w:val="0"/>
          <w:numId w:val="2"/>
        </w:numPr>
        <w:spacing w:before="120" w:after="120" w:line="360" w:lineRule="auto"/>
        <w:ind w:left="0" w:leftChars="0" w:firstLine="0" w:firstLineChars="0"/>
        <w:jc w:val="both"/>
        <w:outlineLvl w:val="0"/>
        <w:rPr>
          <w:rFonts w:hint="eastAsia" w:ascii="Times New Roman" w:hAnsi="Times New Roman" w:cs="Times New Roman"/>
          <w:b/>
          <w:bCs/>
          <w:kern w:val="44"/>
          <w:sz w:val="32"/>
          <w:szCs w:val="28"/>
          <w:lang w:val="en-US" w:eastAsia="zh-CN" w:bidi="ar-SA"/>
        </w:rPr>
      </w:pPr>
      <w:bookmarkStart w:id="0" w:name="_Toc17093"/>
      <w:r>
        <w:rPr>
          <w:rFonts w:hint="eastAsia" w:ascii="Times New Roman" w:hAnsi="Times New Roman" w:cs="Times New Roman"/>
          <w:b/>
          <w:bCs/>
          <w:kern w:val="44"/>
          <w:sz w:val="32"/>
          <w:szCs w:val="28"/>
          <w:lang w:val="en-US" w:eastAsia="zh-CN" w:bidi="ar-SA"/>
        </w:rPr>
        <w:t>系统前期准备</w:t>
      </w:r>
      <w:bookmarkEnd w:id="0"/>
    </w:p>
    <w:p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1" w:name="_Toc346701610"/>
      <w:bookmarkStart w:id="2" w:name="_Toc404765183"/>
      <w:bookmarkStart w:id="3" w:name="_Toc346183628"/>
      <w:bookmarkStart w:id="4" w:name="_Toc529293478"/>
      <w:bookmarkStart w:id="5" w:name="_Toc25877"/>
      <w:bookmarkStart w:id="6" w:name="_Toc404243488"/>
      <w:bookmarkStart w:id="7" w:name="_Toc404764407"/>
      <w:bookmarkStart w:id="8" w:name="_Toc13759"/>
      <w:r>
        <w:rPr>
          <w:rFonts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驱动安装说明</w:t>
      </w:r>
      <w:bookmarkEnd w:id="1"/>
      <w:bookmarkEnd w:id="2"/>
      <w:bookmarkEnd w:id="3"/>
      <w:bookmarkEnd w:id="4"/>
      <w:bookmarkEnd w:id="5"/>
      <w:bookmarkEnd w:id="6"/>
      <w:bookmarkEnd w:id="7"/>
      <w:bookmarkEnd w:id="8"/>
    </w:p>
    <w:p>
      <w:pPr>
        <w:keepNext/>
        <w:keepLines/>
        <w:widowControl w:val="0"/>
        <w:numPr>
          <w:ilvl w:val="2"/>
          <w:numId w:val="2"/>
        </w:numPr>
        <w:spacing w:before="120" w:after="120" w:line="360" w:lineRule="auto"/>
        <w:ind w:left="0" w:leftChars="0" w:firstLine="0" w:firstLineChars="0"/>
        <w:jc w:val="both"/>
        <w:outlineLvl w:val="2"/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</w:pPr>
      <w:bookmarkStart w:id="9" w:name="_Toc404243489"/>
      <w:bookmarkStart w:id="10" w:name="_Toc346701611"/>
      <w:bookmarkStart w:id="11" w:name="_Toc404764408"/>
      <w:bookmarkStart w:id="12" w:name="_Toc9384"/>
      <w:bookmarkStart w:id="13" w:name="_Toc404765184"/>
      <w:bookmarkStart w:id="14" w:name="_Toc346183629"/>
      <w:bookmarkStart w:id="15" w:name="_Toc529293479"/>
      <w:r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  <w:t>安装驱动程序</w:t>
      </w:r>
      <w:bookmarkEnd w:id="9"/>
      <w:bookmarkEnd w:id="10"/>
      <w:bookmarkEnd w:id="11"/>
      <w:bookmarkEnd w:id="12"/>
      <w:bookmarkEnd w:id="13"/>
      <w:bookmarkEnd w:id="14"/>
      <w:bookmarkEnd w:id="15"/>
    </w:p>
    <w:p>
      <w:pPr>
        <w:numPr>
          <w:ilvl w:val="0"/>
          <w:numId w:val="3"/>
        </w:numPr>
        <w:jc w:val="left"/>
        <w:rPr>
          <w:rFonts w:ascii="Times New Roman" w:hAnsi="Times New Roman" w:cs="Times New Roman"/>
        </w:rPr>
      </w:pPr>
      <w:r>
        <w:rPr>
          <w:rFonts w:hint="eastAsia" w:ascii="Times New Roman" w:hAnsi="Times New Roman" w:cs="Times New Roman"/>
        </w:rPr>
        <w:t>登陆首页，下载驱动。</w:t>
      </w:r>
    </w:p>
    <w:p>
      <w:pPr>
        <w:ind w:firstLine="0" w:firstLineChars="0"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drawing>
          <wp:inline distT="0" distB="0" distL="114300" distR="114300">
            <wp:extent cx="5274945" cy="2463800"/>
            <wp:effectExtent l="0" t="0" r="8255" b="0"/>
            <wp:docPr id="5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463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jc w:val="left"/>
        <w:rPr>
          <w:rFonts w:ascii="Times New Roman" w:hAnsi="Times New Roman" w:cs="Times New Roman"/>
        </w:rPr>
      </w:pPr>
      <w:r>
        <w:rPr>
          <w:rFonts w:hint="eastAsia" w:ascii="Times New Roman" w:hAnsi="Times New Roman" w:cs="Times New Roman"/>
        </w:rPr>
        <w:t>关闭360等杀毒软件，关闭IE浏览器，右键点</w:t>
      </w:r>
      <w:r>
        <w:rPr>
          <w:rFonts w:ascii="Times New Roman" w:hAnsi="Times New Roman" w:cs="Times New Roman"/>
        </w:rPr>
        <w:t>击安装程序</w:t>
      </w:r>
      <w:r>
        <w:rPr>
          <w:rFonts w:ascii="Times New Roman" w:hAnsi="Times New Roman" w:cs="Times New Roman"/>
        </w:rPr>
        <w:drawing>
          <wp:inline distT="0" distB="0" distL="114300" distR="114300">
            <wp:extent cx="752475" cy="819150"/>
            <wp:effectExtent l="0" t="0" r="9525" b="6350"/>
            <wp:docPr id="5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819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>，</w:t>
      </w:r>
      <w:r>
        <w:rPr>
          <w:rFonts w:hint="eastAsia" w:ascii="Times New Roman" w:hAnsi="Times New Roman" w:cs="Times New Roman"/>
        </w:rPr>
        <w:t>选择以“管理员运行”</w:t>
      </w:r>
      <w:r>
        <w:rPr>
          <w:rFonts w:ascii="Times New Roman" w:hAnsi="Times New Roman" w:cs="Times New Roman"/>
        </w:rPr>
        <w:t>进入安装页面</w:t>
      </w:r>
      <w:r>
        <w:rPr>
          <w:rFonts w:hint="eastAsia" w:ascii="Times New Roman" w:hAnsi="Times New Roman" w:cs="Times New Roman"/>
        </w:rPr>
        <w:t>。</w:t>
      </w:r>
    </w:p>
    <w:p>
      <w:pPr>
        <w:autoSpaceDE w:val="0"/>
        <w:autoSpaceDN w:val="0"/>
        <w:adjustRightInd w:val="0"/>
        <w:ind w:right="-20" w:firstLine="0" w:firstLineChars="0"/>
        <w:jc w:val="both"/>
        <w:rPr>
          <w:rFonts w:ascii="Times New Roman" w:hAnsi="Times New Roman" w:cs="Times New Roman"/>
          <w:spacing w:val="4"/>
        </w:rPr>
      </w:pPr>
      <w:r>
        <w:rPr>
          <w:rFonts w:ascii="Times New Roman" w:hAnsi="Times New Roman" w:cs="Times New Roman"/>
        </w:rPr>
        <w:drawing>
          <wp:inline distT="0" distB="0" distL="114300" distR="114300">
            <wp:extent cx="5715000" cy="4286250"/>
            <wp:effectExtent l="0" t="0" r="0" b="6350"/>
            <wp:docPr id="5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1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2、点击</w:t>
      </w:r>
      <w:r>
        <w:rPr>
          <w:rFonts w:hint="eastAsia" w:ascii="Times New Roman" w:hAnsi="Times New Roman" w:cs="Times New Roman"/>
        </w:rPr>
        <w:t>“快速安装</w:t>
      </w:r>
      <w:r>
        <w:rPr>
          <w:rFonts w:ascii="Times New Roman" w:hAnsi="Times New Roman" w:cs="Times New Roman"/>
        </w:rPr>
        <w:t>”</w:t>
      </w:r>
      <w:r>
        <w:rPr>
          <w:rFonts w:hint="eastAsia" w:ascii="Times New Roman" w:hAnsi="Times New Roman" w:cs="Times New Roman"/>
        </w:rPr>
        <w:t>，进入安装页面。如果提示“.....IE程序正在运行......”点击确定即可。也可以选择自定义安装，选择一个路径后，点击“立即安装”。</w:t>
      </w:r>
    </w:p>
    <w:p>
      <w:pPr>
        <w:widowControl w:val="0"/>
        <w:spacing w:line="360" w:lineRule="auto"/>
        <w:ind w:firstLine="0" w:firstLineChars="0"/>
        <w:jc w:val="both"/>
        <w:rPr>
          <w:rFonts w:ascii="Times New Roman" w:hAnsi="Times New Roman" w:eastAsia="宋体" w:cs="Times New Roman"/>
          <w:kern w:val="2"/>
          <w:sz w:val="24"/>
          <w:szCs w:val="24"/>
          <w:lang w:val="en-US" w:eastAsia="zh-CN" w:bidi="ar-SA"/>
        </w:rPr>
      </w:pPr>
      <w:r>
        <w:rPr>
          <w:rFonts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drawing>
          <wp:inline distT="0" distB="0" distL="114300" distR="114300">
            <wp:extent cx="5294630" cy="3971290"/>
            <wp:effectExtent l="0" t="0" r="1270" b="3810"/>
            <wp:docPr id="5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1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94630" cy="397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spacing w:line="360" w:lineRule="auto"/>
        <w:ind w:firstLine="480" w:firstLineChars="200"/>
        <w:jc w:val="both"/>
        <w:rPr>
          <w:rFonts w:ascii="Times New Roman" w:hAnsi="Times New Roman" w:eastAsia="宋体" w:cs="Times New Roman"/>
          <w:kern w:val="2"/>
          <w:sz w:val="24"/>
          <w:szCs w:val="24"/>
          <w:lang w:val="en-US" w:eastAsia="zh-CN" w:bidi="ar-SA"/>
        </w:rPr>
      </w:pPr>
      <w:r>
        <w:rPr>
          <w:rFonts w:hint="eastAsia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3、</w:t>
      </w:r>
      <w:r>
        <w:rPr>
          <w:rFonts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运行完毕后，驱动安装成功</w:t>
      </w:r>
      <w:r>
        <w:rPr>
          <w:rFonts w:hint="eastAsia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，点“已完成”即可。</w:t>
      </w:r>
    </w:p>
    <w:p>
      <w:pPr>
        <w:widowControl w:val="0"/>
        <w:spacing w:line="360" w:lineRule="auto"/>
        <w:ind w:firstLine="0" w:firstLineChars="0"/>
        <w:jc w:val="both"/>
        <w:rPr>
          <w:rFonts w:ascii="Times New Roman" w:hAnsi="Times New Roman" w:eastAsia="宋体" w:cs="Times New Roman"/>
          <w:b/>
          <w:spacing w:val="4"/>
          <w:kern w:val="2"/>
          <w:sz w:val="24"/>
          <w:szCs w:val="24"/>
          <w:lang w:val="en-US" w:eastAsia="zh-CN" w:bidi="ar-SA"/>
        </w:rPr>
      </w:pPr>
      <w:r>
        <w:rPr>
          <w:rFonts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drawing>
          <wp:inline distT="0" distB="0" distL="114300" distR="114300">
            <wp:extent cx="5189855" cy="3892550"/>
            <wp:effectExtent l="0" t="0" r="4445" b="6350"/>
            <wp:docPr id="6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1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189855" cy="389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16" w:name="_Toc529293480"/>
      <w:bookmarkStart w:id="17" w:name="_Toc17143"/>
      <w:bookmarkStart w:id="18" w:name="_Toc346183631"/>
      <w:bookmarkStart w:id="19" w:name="_Toc346701613"/>
      <w:bookmarkStart w:id="20" w:name="_Toc404764410"/>
      <w:bookmarkStart w:id="21" w:name="_Toc404243491"/>
      <w:bookmarkStart w:id="22" w:name="_Toc2345"/>
      <w:bookmarkStart w:id="23" w:name="_Toc404765186"/>
      <w:r>
        <w:rPr>
          <w:rFonts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证书工具</w:t>
      </w:r>
      <w:bookmarkEnd w:id="16"/>
      <w:bookmarkEnd w:id="17"/>
      <w:bookmarkEnd w:id="18"/>
      <w:bookmarkEnd w:id="19"/>
      <w:bookmarkEnd w:id="20"/>
      <w:bookmarkEnd w:id="21"/>
      <w:bookmarkEnd w:id="22"/>
      <w:bookmarkEnd w:id="23"/>
    </w:p>
    <w:p>
      <w:pPr>
        <w:keepNext/>
        <w:keepLines/>
        <w:widowControl/>
        <w:numPr>
          <w:ilvl w:val="2"/>
          <w:numId w:val="2"/>
        </w:numPr>
        <w:spacing w:before="120" w:after="120" w:line="360" w:lineRule="auto"/>
        <w:ind w:left="0" w:leftChars="0" w:firstLine="0" w:firstLineChars="0"/>
        <w:jc w:val="both"/>
        <w:outlineLvl w:val="2"/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</w:pPr>
      <w:bookmarkStart w:id="24" w:name="_Toc529293481"/>
      <w:bookmarkStart w:id="25" w:name="_Toc404765187"/>
      <w:bookmarkStart w:id="26" w:name="_Toc346183632"/>
      <w:bookmarkStart w:id="27" w:name="_Toc346701614"/>
      <w:bookmarkStart w:id="28" w:name="_Toc404243492"/>
      <w:bookmarkStart w:id="29" w:name="_Toc19689"/>
      <w:bookmarkStart w:id="30" w:name="_Toc404764411"/>
      <w:bookmarkStart w:id="31" w:name="_Toc346701615"/>
      <w:bookmarkStart w:id="32" w:name="_Toc529293482"/>
      <w:bookmarkStart w:id="33" w:name="_Toc404764412"/>
      <w:bookmarkStart w:id="34" w:name="_Toc404243493"/>
      <w:bookmarkStart w:id="35" w:name="_Toc404765188"/>
      <w:bookmarkStart w:id="36" w:name="_Toc346183633"/>
      <w:r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  <w:t>修改口令</w:t>
      </w:r>
      <w:bookmarkEnd w:id="24"/>
      <w:bookmarkEnd w:id="25"/>
      <w:bookmarkEnd w:id="26"/>
      <w:bookmarkEnd w:id="27"/>
      <w:bookmarkEnd w:id="28"/>
      <w:bookmarkEnd w:id="29"/>
      <w:bookmarkEnd w:id="30"/>
    </w:p>
    <w:p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用户可以点击桌面上</w:t>
      </w:r>
      <w:r>
        <w:rPr>
          <w:rFonts w:hint="eastAsia" w:ascii="Times New Roman" w:hAnsi="Times New Roman" w:cs="Times New Roman"/>
        </w:rPr>
        <w:t>“河北CA数字证书助手”</w:t>
      </w:r>
      <w:r>
        <w:rPr>
          <w:rFonts w:ascii="Times New Roman" w:hAnsi="Times New Roman" w:cs="Times New Roman"/>
        </w:rPr>
        <w:t>证书管理工具，进入证书管理界面。</w:t>
      </w:r>
    </w:p>
    <w:p>
      <w:pPr>
        <w:ind w:firstLine="0" w:firstLineChars="0"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drawing>
          <wp:inline distT="0" distB="0" distL="114300" distR="114300">
            <wp:extent cx="5229225" cy="3224530"/>
            <wp:effectExtent l="0" t="0" r="3175" b="1270"/>
            <wp:docPr id="6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322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口令相当于证书Key的密码，需要妥善保管，新发出的证书Key的密码是</w:t>
      </w:r>
      <w:r>
        <w:rPr>
          <w:rFonts w:hint="eastAsia" w:ascii="Times New Roman" w:hAnsi="Times New Roman" w:cs="Times New Roman"/>
        </w:rPr>
        <w:t>123456</w:t>
      </w:r>
      <w:r>
        <w:rPr>
          <w:rFonts w:ascii="Times New Roman" w:hAnsi="Times New Roman" w:cs="Times New Roman"/>
        </w:rPr>
        <w:t>，为了您的证书的安全，请立即修改密码</w:t>
      </w:r>
      <w:r>
        <w:rPr>
          <w:rFonts w:hint="eastAsia" w:ascii="Times New Roman" w:hAnsi="Times New Roman" w:cs="Times New Roman"/>
        </w:rPr>
        <w:t>。</w:t>
      </w:r>
    </w:p>
    <w:p>
      <w:pPr>
        <w:jc w:val="left"/>
        <w:rPr>
          <w:rFonts w:ascii="Times New Roman" w:hAnsi="Times New Roman" w:cs="Times New Roman"/>
        </w:rPr>
      </w:pPr>
      <w:r>
        <w:rPr>
          <w:rFonts w:hint="eastAsia" w:ascii="Times New Roman" w:hAnsi="Times New Roman" w:cs="Times New Roman"/>
        </w:rPr>
        <w:t>点击“我的证书”，右侧</w:t>
      </w:r>
      <w:r>
        <w:rPr>
          <w:rFonts w:ascii="Times New Roman" w:hAnsi="Times New Roman" w:cs="Times New Roman"/>
        </w:rPr>
        <w:t>输入正确的旧口令和新口令，点击</w:t>
      </w:r>
      <w:r>
        <w:rPr>
          <w:rFonts w:hint="eastAsia" w:ascii="Times New Roman" w:hAnsi="Times New Roman" w:cs="Times New Roman"/>
        </w:rPr>
        <w:t>“确定修改”</w:t>
      </w:r>
      <w:r>
        <w:rPr>
          <w:rFonts w:ascii="Times New Roman" w:hAnsi="Times New Roman" w:cs="Times New Roman"/>
        </w:rPr>
        <w:t>就可以修改密码了。请不要忘记您的密码，如果忘记，请到该项目CA发证中心进行密码的初始化。</w:t>
      </w:r>
    </w:p>
    <w:p>
      <w:pPr>
        <w:ind w:firstLine="0" w:firstLineChars="0"/>
        <w:jc w:val="both"/>
        <w:rPr>
          <w:rFonts w:ascii="Times New Roman" w:hAnsi="Times New Roman" w:cs="Times New Roman"/>
          <w:spacing w:val="4"/>
        </w:rPr>
      </w:pPr>
    </w:p>
    <w:p>
      <w:pPr>
        <w:widowControl w:val="0"/>
        <w:spacing w:line="360" w:lineRule="auto"/>
        <w:ind w:firstLine="498" w:firstLineChars="200"/>
        <w:jc w:val="left"/>
        <w:rPr>
          <w:rFonts w:ascii="Times New Roman" w:hAnsi="Times New Roman" w:eastAsia="宋体" w:cs="Times New Roman"/>
          <w:b/>
          <w:spacing w:val="4"/>
          <w:kern w:val="2"/>
          <w:sz w:val="24"/>
          <w:szCs w:val="24"/>
          <w:lang w:val="en-US" w:eastAsia="zh-CN" w:bidi="ar-SA"/>
        </w:rPr>
      </w:pPr>
    </w:p>
    <w:p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37" w:name="_Toc23825"/>
      <w:bookmarkStart w:id="38" w:name="_Toc5578"/>
      <w:r>
        <w:rPr>
          <w:rFonts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检测工具</w:t>
      </w:r>
      <w:bookmarkEnd w:id="31"/>
      <w:bookmarkEnd w:id="32"/>
      <w:bookmarkEnd w:id="33"/>
      <w:bookmarkEnd w:id="34"/>
      <w:bookmarkEnd w:id="35"/>
      <w:bookmarkEnd w:id="36"/>
      <w:bookmarkEnd w:id="37"/>
      <w:bookmarkEnd w:id="38"/>
    </w:p>
    <w:p>
      <w:pPr>
        <w:keepNext/>
        <w:keepLines/>
        <w:widowControl/>
        <w:numPr>
          <w:ilvl w:val="2"/>
          <w:numId w:val="2"/>
        </w:numPr>
        <w:spacing w:before="120" w:after="120" w:line="360" w:lineRule="auto"/>
        <w:ind w:left="0" w:leftChars="0" w:firstLine="0" w:firstLineChars="0"/>
        <w:jc w:val="both"/>
        <w:outlineLvl w:val="2"/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</w:pPr>
      <w:bookmarkStart w:id="39" w:name="_Toc19660"/>
      <w:bookmarkStart w:id="40" w:name="_Toc529293483"/>
      <w:bookmarkStart w:id="41" w:name="_Toc404764413"/>
      <w:bookmarkStart w:id="42" w:name="_Toc346701616"/>
      <w:bookmarkStart w:id="43" w:name="_Toc404765189"/>
      <w:bookmarkStart w:id="44" w:name="_Toc404243494"/>
      <w:bookmarkStart w:id="45" w:name="_Toc346183634"/>
      <w:r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  <w:t>启动检测工具</w:t>
      </w:r>
      <w:bookmarkEnd w:id="39"/>
      <w:bookmarkEnd w:id="40"/>
      <w:bookmarkEnd w:id="41"/>
      <w:bookmarkEnd w:id="42"/>
      <w:bookmarkEnd w:id="43"/>
      <w:bookmarkEnd w:id="44"/>
      <w:bookmarkEnd w:id="45"/>
    </w:p>
    <w:p>
      <w:pPr>
        <w:jc w:val="left"/>
        <w:rPr>
          <w:rFonts w:ascii="Times New Roman" w:hAnsi="Times New Roman" w:cs="Times New Roman"/>
        </w:rPr>
      </w:pPr>
      <w:r>
        <w:rPr>
          <w:rFonts w:hint="eastAsia" w:ascii="Times New Roman" w:hAnsi="Times New Roman" w:cs="Times New Roman"/>
        </w:rPr>
        <w:t>插入CA锁后，</w:t>
      </w:r>
      <w:r>
        <w:rPr>
          <w:rFonts w:ascii="Times New Roman" w:hAnsi="Times New Roman" w:cs="Times New Roman"/>
        </w:rPr>
        <w:t>用户可以点击桌面上的新点检测工具图标来启动检测工具</w:t>
      </w:r>
      <w:r>
        <w:rPr>
          <w:rFonts w:hint="eastAsia" w:ascii="Times New Roman" w:hAnsi="Times New Roman" w:cs="Times New Roman"/>
        </w:rPr>
        <w:t>，</w:t>
      </w:r>
    </w:p>
    <w:p>
      <w:pPr>
        <w:widowControl w:val="0"/>
        <w:spacing w:line="360" w:lineRule="auto"/>
        <w:ind w:firstLine="480" w:firstLineChars="200"/>
        <w:jc w:val="center"/>
        <w:rPr>
          <w:rFonts w:ascii="Times New Roman" w:hAnsi="Times New Roman" w:eastAsia="宋体" w:cs="Times New Roman"/>
          <w:b/>
          <w:spacing w:val="4"/>
          <w:kern w:val="2"/>
          <w:sz w:val="24"/>
          <w:szCs w:val="24"/>
          <w:lang w:val="en-US" w:eastAsia="zh-CN" w:bidi="ar-SA"/>
        </w:rPr>
      </w:pPr>
      <w:r>
        <w:rPr>
          <w:rFonts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drawing>
          <wp:inline distT="0" distB="0" distL="114300" distR="114300">
            <wp:extent cx="742950" cy="847725"/>
            <wp:effectExtent l="0" t="0" r="6350" b="3175"/>
            <wp:docPr id="6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42950" cy="8477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/>
        <w:keepLines/>
        <w:widowControl/>
        <w:numPr>
          <w:ilvl w:val="2"/>
          <w:numId w:val="2"/>
        </w:numPr>
        <w:spacing w:before="120" w:after="120" w:line="360" w:lineRule="auto"/>
        <w:ind w:left="0" w:leftChars="0" w:firstLine="0" w:firstLineChars="0"/>
        <w:jc w:val="both"/>
        <w:outlineLvl w:val="2"/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</w:pPr>
      <w:bookmarkStart w:id="46" w:name="_Toc404243495"/>
      <w:bookmarkStart w:id="47" w:name="_Toc404765190"/>
      <w:bookmarkStart w:id="48" w:name="_Toc346183635"/>
      <w:bookmarkStart w:id="49" w:name="_Toc346701617"/>
      <w:bookmarkStart w:id="50" w:name="_Toc17843"/>
      <w:bookmarkStart w:id="51" w:name="_Toc404764414"/>
      <w:bookmarkStart w:id="52" w:name="_Toc529293484"/>
      <w:r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  <w:t>系统检测</w:t>
      </w:r>
      <w:bookmarkEnd w:id="46"/>
      <w:bookmarkEnd w:id="47"/>
      <w:bookmarkEnd w:id="48"/>
      <w:bookmarkEnd w:id="49"/>
      <w:bookmarkEnd w:id="50"/>
      <w:bookmarkEnd w:id="51"/>
      <w:bookmarkEnd w:id="52"/>
    </w:p>
    <w:p>
      <w:pPr>
        <w:jc w:val="left"/>
        <w:rPr>
          <w:rFonts w:ascii="Times New Roman" w:hAnsi="Times New Roman" w:cs="Times New Roman"/>
        </w:rPr>
      </w:pPr>
      <w:r>
        <w:rPr>
          <w:rFonts w:hint="eastAsia" w:ascii="Times New Roman" w:hAnsi="Times New Roman" w:cs="Times New Roman"/>
        </w:rPr>
        <w:t>点击“一键检测”。</w:t>
      </w:r>
    </w:p>
    <w:p>
      <w:pPr>
        <w:widowControl w:val="0"/>
        <w:spacing w:line="360" w:lineRule="auto"/>
        <w:ind w:firstLine="0" w:firstLineChars="0"/>
        <w:jc w:val="center"/>
        <w:rPr>
          <w:rFonts w:ascii="Times New Roman" w:hAnsi="Times New Roman" w:eastAsia="宋体" w:cs="Times New Roman"/>
          <w:b/>
          <w:spacing w:val="4"/>
          <w:kern w:val="2"/>
          <w:sz w:val="24"/>
          <w:szCs w:val="24"/>
          <w:lang w:val="en-US" w:eastAsia="zh-CN" w:bidi="ar-SA"/>
        </w:rPr>
      </w:pPr>
      <w:r>
        <w:rPr>
          <w:rFonts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drawing>
          <wp:inline distT="0" distB="0" distL="114300" distR="114300">
            <wp:extent cx="5213350" cy="3330575"/>
            <wp:effectExtent l="0" t="0" r="6350" b="9525"/>
            <wp:docPr id="6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1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13350" cy="333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spacing w:line="360" w:lineRule="auto"/>
        <w:ind w:firstLine="496" w:firstLineChars="200"/>
        <w:jc w:val="both"/>
        <w:rPr>
          <w:rFonts w:ascii="Times New Roman" w:hAnsi="Times New Roman" w:eastAsia="宋体" w:cs="Times New Roman"/>
          <w:bCs/>
          <w:spacing w:val="4"/>
          <w:kern w:val="2"/>
          <w:sz w:val="24"/>
          <w:szCs w:val="24"/>
          <w:lang w:val="en-US" w:eastAsia="zh-CN" w:bidi="ar-SA"/>
        </w:rPr>
      </w:pPr>
      <w:r>
        <w:rPr>
          <w:rFonts w:hint="eastAsia" w:ascii="Times New Roman" w:hAnsi="Times New Roman" w:eastAsia="宋体" w:cs="Times New Roman"/>
          <w:bCs/>
          <w:spacing w:val="4"/>
          <w:kern w:val="2"/>
          <w:sz w:val="24"/>
          <w:szCs w:val="24"/>
          <w:lang w:val="en-US" w:eastAsia="zh-CN" w:bidi="ar-SA"/>
        </w:rPr>
        <w:t>检测通过会所示，可以点击“一键登录系统”，访问</w:t>
      </w:r>
      <w:r>
        <w:rPr>
          <w:rFonts w:hint="eastAsia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河北省公共资源交易公共服务平台；</w:t>
      </w:r>
      <w:r>
        <w:rPr>
          <w:rFonts w:hint="eastAsia" w:ascii="Times New Roman" w:hAnsi="Times New Roman" w:eastAsia="宋体" w:cs="Times New Roman"/>
          <w:bCs/>
          <w:spacing w:val="4"/>
          <w:kern w:val="2"/>
          <w:sz w:val="24"/>
          <w:szCs w:val="24"/>
          <w:lang w:val="en-US" w:eastAsia="zh-CN" w:bidi="ar-SA"/>
        </w:rPr>
        <w:t>如检测不通过，请点击“重新检测”，按照系统提示安装最新驱动。</w:t>
      </w:r>
    </w:p>
    <w:p>
      <w:pPr>
        <w:ind w:firstLine="0" w:firstLineChars="0"/>
        <w:jc w:val="left"/>
        <w:rPr>
          <w:rFonts w:ascii="Times New Roman" w:hAnsi="Times New Roman" w:cs="Times New Roman"/>
          <w:spacing w:val="4"/>
        </w:rPr>
      </w:pPr>
      <w:r>
        <w:rPr>
          <w:rFonts w:ascii="Times New Roman" w:hAnsi="Times New Roman" w:cs="Times New Roman"/>
        </w:rPr>
        <w:drawing>
          <wp:inline distT="0" distB="0" distL="114300" distR="114300">
            <wp:extent cx="5274945" cy="3318510"/>
            <wp:effectExtent l="0" t="0" r="8255" b="8890"/>
            <wp:docPr id="6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3185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/>
        <w:keepLines/>
        <w:widowControl/>
        <w:numPr>
          <w:ilvl w:val="2"/>
          <w:numId w:val="2"/>
        </w:numPr>
        <w:spacing w:before="120" w:after="120" w:line="360" w:lineRule="auto"/>
        <w:ind w:left="0" w:leftChars="0" w:firstLine="0" w:firstLineChars="0"/>
        <w:jc w:val="both"/>
        <w:outlineLvl w:val="2"/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</w:pPr>
      <w:bookmarkStart w:id="53" w:name="_Toc18597"/>
      <w:bookmarkStart w:id="54" w:name="_Toc529293485"/>
      <w:r>
        <w:rPr>
          <w:rFonts w:hint="eastAsia"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  <w:t>证书显示</w:t>
      </w:r>
      <w:bookmarkEnd w:id="53"/>
      <w:bookmarkEnd w:id="54"/>
    </w:p>
    <w:p>
      <w:pPr>
        <w:jc w:val="left"/>
        <w:rPr>
          <w:rFonts w:ascii="Times New Roman" w:hAnsi="Times New Roman" w:cs="Times New Roman"/>
        </w:rPr>
      </w:pPr>
      <w:r>
        <w:rPr>
          <w:rFonts w:hint="eastAsia" w:ascii="Times New Roman" w:hAnsi="Times New Roman" w:cs="Times New Roman"/>
        </w:rPr>
        <w:t>点击“证书显示”，可查看证书的详细信息。</w:t>
      </w:r>
    </w:p>
    <w:p>
      <w:pPr>
        <w:ind w:firstLine="0" w:firstLineChars="0"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drawing>
          <wp:inline distT="0" distB="0" distL="114300" distR="114300">
            <wp:extent cx="5277485" cy="3220720"/>
            <wp:effectExtent l="0" t="0" r="5715" b="5080"/>
            <wp:docPr id="6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32207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/>
        <w:keepLines/>
        <w:widowControl/>
        <w:numPr>
          <w:ilvl w:val="2"/>
          <w:numId w:val="2"/>
        </w:numPr>
        <w:spacing w:before="120" w:after="120" w:line="360" w:lineRule="auto"/>
        <w:ind w:left="0" w:leftChars="0" w:firstLine="0" w:firstLineChars="0"/>
        <w:jc w:val="both"/>
        <w:outlineLvl w:val="2"/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</w:pPr>
      <w:bookmarkStart w:id="55" w:name="_Toc529293486"/>
      <w:bookmarkStart w:id="56" w:name="_Toc25870"/>
      <w:r>
        <w:rPr>
          <w:rFonts w:hint="eastAsia"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  <w:t>签章显示</w:t>
      </w:r>
      <w:bookmarkEnd w:id="55"/>
      <w:bookmarkEnd w:id="56"/>
    </w:p>
    <w:p>
      <w:pPr>
        <w:jc w:val="left"/>
        <w:rPr>
          <w:rFonts w:ascii="Times New Roman" w:hAnsi="Times New Roman" w:cs="Times New Roman"/>
        </w:rPr>
      </w:pPr>
      <w:r>
        <w:rPr>
          <w:rFonts w:hint="eastAsia" w:ascii="Times New Roman" w:hAnsi="Times New Roman" w:cs="Times New Roman"/>
        </w:rPr>
        <w:t>点击“签章显示”，可验证签章及测试签章功能是否完好。</w:t>
      </w:r>
    </w:p>
    <w:p>
      <w:pPr>
        <w:widowControl w:val="0"/>
        <w:spacing w:line="360" w:lineRule="auto"/>
        <w:ind w:firstLine="0" w:firstLineChars="0"/>
        <w:jc w:val="both"/>
        <w:rPr>
          <w:rFonts w:ascii="Times New Roman" w:hAnsi="Times New Roman" w:eastAsia="宋体" w:cs="Times New Roman"/>
          <w:b/>
          <w:spacing w:val="4"/>
          <w:kern w:val="2"/>
          <w:sz w:val="21"/>
          <w:szCs w:val="24"/>
          <w:lang w:val="en-US" w:eastAsia="zh-CN" w:bidi="ar-SA"/>
        </w:rPr>
      </w:pPr>
      <w:r>
        <w:rPr>
          <w:rFonts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drawing>
          <wp:inline distT="0" distB="0" distL="114300" distR="114300">
            <wp:extent cx="5275580" cy="3980180"/>
            <wp:effectExtent l="0" t="0" r="7620" b="7620"/>
            <wp:docPr id="6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39801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ind w:firstLine="0" w:firstLineChars="0"/>
        <w:jc w:val="left"/>
        <w:rPr>
          <w:rFonts w:ascii="Times New Roman" w:hAnsi="Times New Roman" w:cs="Times New Roman"/>
        </w:rPr>
      </w:pPr>
      <w:r>
        <w:rPr>
          <w:rFonts w:hint="eastAsia" w:ascii="Times New Roman" w:hAnsi="Times New Roman" w:cs="Times New Roman"/>
        </w:rPr>
        <w:t xml:space="preserve">    </w:t>
      </w:r>
      <w:r>
        <w:rPr>
          <w:rFonts w:hint="eastAsia" w:ascii="Calibri" w:hAnsi="Calibri" w:cs="Times New Roman"/>
        </w:rPr>
        <w:t>可核对红色签章信息与您的单位名称是否一致，如不一致请联系河北CA公司。把签章放在需要签章的位置，以便验证签章功能完好。如出现其他提示请联系河北CA公司。</w:t>
      </w:r>
    </w:p>
    <w:p>
      <w:pPr>
        <w:ind w:firstLine="0" w:firstLineChars="0"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drawing>
          <wp:inline distT="0" distB="0" distL="114300" distR="114300">
            <wp:extent cx="5277485" cy="2796540"/>
            <wp:effectExtent l="0" t="0" r="5715" b="10160"/>
            <wp:docPr id="6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27965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57" w:name="_Toc529293487"/>
      <w:bookmarkStart w:id="58" w:name="_Toc404764418"/>
      <w:bookmarkStart w:id="59" w:name="_Toc404243499"/>
      <w:bookmarkStart w:id="60" w:name="_Toc404765194"/>
      <w:bookmarkStart w:id="61" w:name="_Toc346701621"/>
      <w:bookmarkStart w:id="62" w:name="_Toc346183639"/>
      <w:bookmarkStart w:id="63" w:name="_Toc26379"/>
      <w:bookmarkStart w:id="64" w:name="_Toc5510"/>
      <w:r>
        <w:rPr>
          <w:rFonts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浏览器配置</w:t>
      </w:r>
      <w:bookmarkEnd w:id="57"/>
      <w:bookmarkEnd w:id="58"/>
      <w:bookmarkEnd w:id="59"/>
      <w:bookmarkEnd w:id="60"/>
      <w:bookmarkEnd w:id="61"/>
      <w:bookmarkEnd w:id="62"/>
      <w:bookmarkEnd w:id="63"/>
      <w:bookmarkEnd w:id="64"/>
    </w:p>
    <w:p>
      <w:pPr>
        <w:keepNext/>
        <w:keepLines/>
        <w:widowControl/>
        <w:numPr>
          <w:ilvl w:val="2"/>
          <w:numId w:val="2"/>
        </w:numPr>
        <w:spacing w:before="120" w:after="120" w:line="360" w:lineRule="auto"/>
        <w:ind w:left="0" w:leftChars="0" w:firstLine="0" w:firstLineChars="0"/>
        <w:jc w:val="both"/>
        <w:outlineLvl w:val="2"/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</w:pPr>
      <w:bookmarkStart w:id="65" w:name="_Toc404765195"/>
      <w:bookmarkStart w:id="66" w:name="_Toc404764419"/>
      <w:bookmarkStart w:id="67" w:name="_Toc404243500"/>
      <w:bookmarkStart w:id="68" w:name="_Toc21171"/>
      <w:bookmarkStart w:id="69" w:name="_Toc346183640"/>
      <w:bookmarkStart w:id="70" w:name="_Toc529293488"/>
      <w:bookmarkStart w:id="71" w:name="_Toc346701622"/>
      <w:r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  <w:t>Internet选项</w:t>
      </w:r>
      <w:bookmarkEnd w:id="65"/>
      <w:bookmarkEnd w:id="66"/>
      <w:bookmarkEnd w:id="67"/>
      <w:bookmarkEnd w:id="68"/>
      <w:bookmarkEnd w:id="69"/>
      <w:bookmarkEnd w:id="70"/>
      <w:bookmarkEnd w:id="71"/>
    </w:p>
    <w:p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为了让系统插件能够正常工作，请按照以下步骤进行浏览器的配置。</w:t>
      </w:r>
    </w:p>
    <w:p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1、打开浏览器，在“工具”菜单→“Internet选项”</w:t>
      </w:r>
      <w:r>
        <w:rPr>
          <w:rFonts w:hint="eastAsia" w:ascii="Times New Roman" w:hAnsi="Times New Roman" w:cs="Times New Roman"/>
        </w:rPr>
        <w:t>，</w:t>
      </w:r>
    </w:p>
    <w:p>
      <w:pPr>
        <w:jc w:val="center"/>
        <w:rPr>
          <w:rFonts w:ascii="Times New Roman" w:hAnsi="Times New Roman" w:cs="Times New Roman"/>
          <w:spacing w:val="4"/>
        </w:rPr>
      </w:pPr>
      <w:r>
        <w:rPr>
          <w:rFonts w:ascii="Times New Roman" w:hAnsi="Times New Roman" w:cs="Times New Roman"/>
          <w:spacing w:val="4"/>
        </w:rPr>
        <w:drawing>
          <wp:inline distT="0" distB="0" distL="0" distR="0">
            <wp:extent cx="3562350" cy="3152775"/>
            <wp:effectExtent l="0" t="0" r="6350" b="9525"/>
            <wp:docPr id="68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29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2、弹出对话框之后，请选择“安全”选项卡，</w:t>
      </w:r>
      <w:r>
        <w:rPr>
          <w:rFonts w:hint="eastAsia" w:ascii="Times New Roman" w:hAnsi="Times New Roman" w:cs="Times New Roman"/>
        </w:rPr>
        <w:t>再</w:t>
      </w:r>
      <w:r>
        <w:rPr>
          <w:rFonts w:ascii="Times New Roman" w:hAnsi="Times New Roman" w:cs="Times New Roman"/>
        </w:rPr>
        <w:t>点击绿色的“受信任的站点”</w:t>
      </w:r>
      <w:r>
        <w:rPr>
          <w:rFonts w:hint="eastAsia" w:ascii="Times New Roman" w:hAnsi="Times New Roman" w:cs="Times New Roman"/>
        </w:rPr>
        <w:t>，再点击</w:t>
      </w:r>
      <w:r>
        <w:rPr>
          <w:rFonts w:ascii="Times New Roman" w:hAnsi="Times New Roman" w:cs="Times New Roman"/>
        </w:rPr>
        <w:t>“站点”按钮，出现如下对话框</w:t>
      </w:r>
      <w:r>
        <w:rPr>
          <w:rFonts w:hint="eastAsia" w:ascii="Times New Roman" w:hAnsi="Times New Roman" w:cs="Times New Roman"/>
        </w:rPr>
        <w:t>。取消https的勾选后，点击添加，再点击关闭。</w:t>
      </w:r>
    </w:p>
    <w:p>
      <w:pPr>
        <w:jc w:val="center"/>
        <w:rPr>
          <w:rFonts w:ascii="Times New Roman" w:hAnsi="Times New Roman" w:cs="Times New Roman"/>
          <w:spacing w:val="4"/>
        </w:rPr>
      </w:pPr>
      <w:r>
        <w:rPr>
          <w:rFonts w:ascii="Times New Roman" w:hAnsi="Times New Roman" w:cs="Times New Roman"/>
        </w:rPr>
        <w:drawing>
          <wp:inline distT="0" distB="0" distL="114300" distR="114300">
            <wp:extent cx="4295140" cy="6485890"/>
            <wp:effectExtent l="0" t="0" r="10160" b="3810"/>
            <wp:docPr id="6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1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295140" cy="64858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输入系统服务器的IP地址</w:t>
      </w:r>
      <w:r>
        <w:rPr>
          <w:rFonts w:hint="eastAsia" w:ascii="Times New Roman" w:hAnsi="Times New Roman" w:cs="Times New Roman"/>
        </w:rPr>
        <w:t>或域名地址http://publicservice.hebpr.cn/</w:t>
      </w:r>
      <w:r>
        <w:rPr>
          <w:rFonts w:ascii="Times New Roman" w:hAnsi="Times New Roman" w:cs="Times New Roman"/>
        </w:rPr>
        <w:t>，然后点击“添加”按钮完成添加，再按“关闭”按钮退出。</w:t>
      </w:r>
    </w:p>
    <w:p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5、设置自定义安全级别，开放Activex的访问权限</w:t>
      </w:r>
      <w:r>
        <w:rPr>
          <w:rFonts w:hint="eastAsia" w:ascii="Times New Roman" w:hAnsi="Times New Roman" w:cs="Times New Roman"/>
        </w:rPr>
        <w:t>，</w:t>
      </w:r>
    </w:p>
    <w:p>
      <w:pPr>
        <w:jc w:val="center"/>
        <w:rPr>
          <w:rFonts w:ascii="Times New Roman" w:hAnsi="Times New Roman" w:cs="Times New Roman"/>
          <w:spacing w:val="4"/>
        </w:rPr>
      </w:pPr>
      <w:r>
        <w:rPr>
          <w:rFonts w:ascii="Times New Roman" w:hAnsi="Times New Roman" w:cs="Times New Roman"/>
          <w:spacing w:val="4"/>
        </w:rPr>
        <w:drawing>
          <wp:inline distT="0" distB="0" distL="0" distR="0">
            <wp:extent cx="3533775" cy="4152900"/>
            <wp:effectExtent l="0" t="0" r="9525" b="0"/>
            <wp:docPr id="7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16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33775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会出现一个窗口，把其中的Activex控件和插件的设置全部改为启用</w:t>
      </w:r>
      <w:r>
        <w:rPr>
          <w:rFonts w:hint="eastAsia" w:ascii="Times New Roman" w:hAnsi="Times New Roman" w:cs="Times New Roman"/>
        </w:rPr>
        <w:t>，</w:t>
      </w:r>
    </w:p>
    <w:p>
      <w:pPr>
        <w:jc w:val="center"/>
        <w:rPr>
          <w:rFonts w:ascii="Times New Roman" w:hAnsi="Times New Roman" w:cs="Times New Roman"/>
          <w:spacing w:val="4"/>
        </w:rPr>
      </w:pPr>
      <w:r>
        <w:rPr>
          <w:rFonts w:ascii="Times New Roman" w:hAnsi="Times New Roman" w:cs="Times New Roman"/>
        </w:rPr>
        <w:drawing>
          <wp:inline distT="0" distB="0" distL="0" distR="0">
            <wp:extent cx="3486150" cy="3676650"/>
            <wp:effectExtent l="0" t="0" r="6350" b="6350"/>
            <wp:docPr id="71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6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文件下载设置，开放文件下载的权限：设置为启用</w:t>
      </w:r>
      <w:r>
        <w:rPr>
          <w:rFonts w:hint="eastAsia" w:ascii="Times New Roman" w:hAnsi="Times New Roman" w:cs="Times New Roman"/>
        </w:rPr>
        <w:t>，</w:t>
      </w:r>
    </w:p>
    <w:p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pacing w:val="4"/>
        </w:rPr>
        <w:drawing>
          <wp:inline distT="0" distB="0" distL="0" distR="0">
            <wp:extent cx="3524250" cy="3705225"/>
            <wp:effectExtent l="0" t="0" r="6350" b="3175"/>
            <wp:docPr id="72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35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ascii="Times New Roman" w:hAnsi="Times New Roman" w:cs="Times New Roman"/>
        </w:rPr>
      </w:pPr>
    </w:p>
    <w:p>
      <w:pPr>
        <w:keepNext/>
        <w:keepLines/>
        <w:widowControl/>
        <w:numPr>
          <w:ilvl w:val="2"/>
          <w:numId w:val="2"/>
        </w:numPr>
        <w:spacing w:before="120" w:after="120" w:line="360" w:lineRule="auto"/>
        <w:ind w:left="0" w:leftChars="0" w:firstLine="0" w:firstLineChars="0"/>
        <w:jc w:val="both"/>
        <w:outlineLvl w:val="2"/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</w:pPr>
      <w:bookmarkStart w:id="72" w:name="_Toc404764420"/>
      <w:bookmarkStart w:id="73" w:name="_Toc346183641"/>
      <w:bookmarkStart w:id="74" w:name="_Toc404243501"/>
      <w:bookmarkStart w:id="75" w:name="_Toc346701623"/>
      <w:bookmarkStart w:id="76" w:name="_Toc404765196"/>
      <w:bookmarkStart w:id="77" w:name="_Toc20576"/>
      <w:bookmarkStart w:id="78" w:name="_Toc529293489"/>
      <w:r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  <w:t>关闭拦截工具</w:t>
      </w:r>
      <w:bookmarkEnd w:id="72"/>
      <w:bookmarkEnd w:id="73"/>
      <w:bookmarkEnd w:id="74"/>
      <w:bookmarkEnd w:id="75"/>
      <w:bookmarkEnd w:id="76"/>
      <w:bookmarkEnd w:id="77"/>
      <w:bookmarkEnd w:id="78"/>
    </w:p>
    <w:p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上述操作完成后，如果系统中某些功能仍不能使用，请将拦截工具关闭再试用。比如在windows工具栏中关闭弹出窗口阻止程序的操作</w:t>
      </w:r>
      <w:r>
        <w:rPr>
          <w:rFonts w:hint="eastAsia" w:ascii="Times New Roman" w:hAnsi="Times New Roman" w:cs="Times New Roman"/>
        </w:rPr>
        <w:t>，</w:t>
      </w:r>
    </w:p>
    <w:p>
      <w:pPr>
        <w:widowControl w:val="0"/>
        <w:spacing w:line="360" w:lineRule="auto"/>
        <w:ind w:firstLine="480" w:firstLineChars="200"/>
        <w:jc w:val="center"/>
        <w:rPr>
          <w:rFonts w:ascii="Times New Roman" w:hAnsi="Times New Roman" w:eastAsia="宋体" w:cs="Times New Roman"/>
          <w:kern w:val="2"/>
          <w:sz w:val="24"/>
          <w:szCs w:val="24"/>
          <w:lang w:val="en-US" w:eastAsia="zh-CN" w:bidi="ar-SA"/>
        </w:rPr>
      </w:pPr>
      <w:r>
        <w:rPr>
          <w:rFonts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drawing>
          <wp:inline distT="0" distB="0" distL="0" distR="0">
            <wp:extent cx="5095875" cy="2324100"/>
            <wp:effectExtent l="0" t="0" r="9525" b="0"/>
            <wp:docPr id="73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36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left"/>
        <w:rPr>
          <w:rFonts w:ascii="Times New Roman" w:hAnsi="Times New Roman" w:cs="Times New Roman"/>
          <w:b/>
        </w:rPr>
      </w:pPr>
    </w:p>
    <w:p>
      <w:pPr>
        <w:ind w:firstLine="0" w:firstLineChars="0"/>
        <w:rPr>
          <w:rFonts w:ascii="思源宋体 CN" w:hAnsi="思源宋体 CN" w:eastAsia="思源宋体 CN" w:cs="思源宋体 CN"/>
        </w:rPr>
      </w:pPr>
    </w:p>
    <w:p>
      <w:pPr>
        <w:rPr>
          <w:rFonts w:ascii="思源宋体 CN" w:hAnsi="思源宋体 CN" w:eastAsia="思源宋体 CN" w:cs="思源宋体 CN"/>
        </w:rPr>
      </w:pPr>
    </w:p>
    <w:p>
      <w:pPr>
        <w:keepNext/>
        <w:keepLines/>
        <w:widowControl w:val="0"/>
        <w:numPr>
          <w:ilvl w:val="0"/>
          <w:numId w:val="2"/>
        </w:numPr>
        <w:spacing w:before="120" w:after="120" w:line="360" w:lineRule="auto"/>
        <w:ind w:left="0" w:leftChars="0" w:firstLine="0" w:firstLineChars="0"/>
        <w:jc w:val="both"/>
        <w:outlineLvl w:val="0"/>
        <w:rPr>
          <w:rFonts w:hint="eastAsia" w:ascii="Times New Roman" w:hAnsi="Times New Roman" w:cs="Times New Roman"/>
          <w:b/>
          <w:bCs/>
          <w:kern w:val="44"/>
          <w:sz w:val="32"/>
          <w:szCs w:val="28"/>
          <w:lang w:val="en-US" w:eastAsia="zh-CN" w:bidi="ar-SA"/>
        </w:rPr>
      </w:pPr>
      <w:bookmarkStart w:id="79" w:name="_Toc10889"/>
      <w:r>
        <w:rPr>
          <w:rFonts w:hint="eastAsia" w:ascii="Times New Roman" w:hAnsi="Times New Roman" w:cs="Times New Roman"/>
          <w:b/>
          <w:bCs/>
          <w:kern w:val="44"/>
          <w:sz w:val="32"/>
          <w:szCs w:val="28"/>
          <w:lang w:val="en-US" w:eastAsia="zh-CN" w:bidi="ar-SA"/>
        </w:rPr>
        <w:t>虚拟开标大厅主流程</w:t>
      </w:r>
      <w:bookmarkEnd w:id="79"/>
    </w:p>
    <w:p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本系统主要提供给主持人（招标代理/招标人）使用，实现主持人登录、查看今日项目、公布投标人、解密、抽取参数、唱标、开标结束等功能。</w:t>
      </w:r>
    </w:p>
    <w:p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80" w:name="_Toc15613"/>
      <w:bookmarkStart w:id="81" w:name="_Toc26290743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登录</w:t>
      </w:r>
      <w:bookmarkEnd w:id="80"/>
      <w:bookmarkEnd w:id="81"/>
    </w:p>
    <w:p>
      <w:pPr>
        <w:ind w:firstLine="422"/>
      </w:pPr>
      <w:r>
        <w:rPr>
          <w:b/>
          <w:bCs/>
        </w:rPr>
        <w:t>功能说明：</w:t>
      </w:r>
      <w:r>
        <w:rPr>
          <w:rFonts w:hint="eastAsia"/>
        </w:rPr>
        <w:t>主持人登录系统</w:t>
      </w:r>
      <w:r>
        <w:t>。</w:t>
      </w:r>
    </w:p>
    <w:p>
      <w:pPr>
        <w:ind w:firstLine="422"/>
        <w:rPr>
          <w:b/>
          <w:bCs/>
        </w:rPr>
      </w:pPr>
      <w:r>
        <w:rPr>
          <w:b/>
          <w:bCs/>
        </w:rPr>
        <w:t>前置条件：</w:t>
      </w:r>
      <w:r>
        <w:rPr>
          <w:rFonts w:hint="eastAsia"/>
        </w:rPr>
        <w:t>主持人在业务系统注册过，且审核通过</w:t>
      </w:r>
      <w:r>
        <w:t>。</w:t>
      </w:r>
    </w:p>
    <w:p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>
      <w:r>
        <w:t>1、</w:t>
      </w:r>
      <w:r>
        <w:rPr>
          <w:rFonts w:hint="eastAsia"/>
        </w:rPr>
        <w:t>打开登录页面</w:t>
      </w:r>
      <w:r>
        <w:t>，如下图：</w:t>
      </w:r>
    </w:p>
    <w:p>
      <w:pPr>
        <w:ind w:firstLine="0" w:firstLineChars="0"/>
      </w:pPr>
      <w:r>
        <w:drawing>
          <wp:inline distT="0" distB="0" distL="114300" distR="114300">
            <wp:extent cx="5213985" cy="2194560"/>
            <wp:effectExtent l="0" t="0" r="5715" b="2540"/>
            <wp:docPr id="7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13985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00" w:name="_GoBack"/>
      <w:bookmarkEnd w:id="100"/>
    </w:p>
    <w:p>
      <w:r>
        <w:t>2、</w:t>
      </w:r>
      <w:r>
        <w:rPr>
          <w:rFonts w:hint="eastAsia"/>
        </w:rPr>
        <w:t>点击“登录”，在左侧选择“招标代理”或者“交易中心”身份，使用CA密钥或用户名密码，点击“登录”</w:t>
      </w:r>
      <w:r>
        <w:t>：</w:t>
      </w:r>
    </w:p>
    <w:p>
      <w:pPr>
        <w:ind w:firstLine="0" w:firstLineChars="0"/>
      </w:pPr>
      <w:r>
        <w:drawing>
          <wp:inline distT="0" distB="0" distL="114300" distR="114300">
            <wp:extent cx="5213985" cy="2194560"/>
            <wp:effectExtent l="0" t="0" r="5715" b="2540"/>
            <wp:docPr id="7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13985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</w:p>
    <w:p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82" w:name="_Toc26290744"/>
      <w:bookmarkStart w:id="83" w:name="_Toc9928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项目列表页面</w:t>
      </w:r>
      <w:bookmarkEnd w:id="82"/>
      <w:bookmarkEnd w:id="83"/>
    </w:p>
    <w:p>
      <w:pPr>
        <w:ind w:firstLine="422"/>
      </w:pPr>
      <w:r>
        <w:rPr>
          <w:b/>
          <w:bCs/>
        </w:rPr>
        <w:t>功能说明：</w:t>
      </w:r>
      <w:r>
        <w:rPr>
          <w:rFonts w:hint="eastAsia"/>
        </w:rPr>
        <w:t>主持人登录之后可以看到今日开标标段以及历史标段</w:t>
      </w:r>
      <w:r>
        <w:t>。</w:t>
      </w:r>
    </w:p>
    <w:p>
      <w:pPr>
        <w:ind w:firstLine="422"/>
        <w:rPr>
          <w:b/>
          <w:bCs/>
        </w:rPr>
      </w:pPr>
      <w:r>
        <w:rPr>
          <w:b/>
          <w:bCs/>
        </w:rPr>
        <w:t>前置条件：</w:t>
      </w:r>
    </w:p>
    <w:p>
      <w:pPr>
        <w:numPr>
          <w:ilvl w:val="0"/>
          <w:numId w:val="4"/>
        </w:numPr>
      </w:pPr>
      <w:r>
        <w:rPr>
          <w:rFonts w:hint="eastAsia"/>
        </w:rPr>
        <w:t>当前主持人今天有开标的标段；</w:t>
      </w:r>
    </w:p>
    <w:p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>
      <w:r>
        <w:t>1、</w:t>
      </w:r>
      <w:r>
        <w:rPr>
          <w:rFonts w:hint="eastAsia"/>
        </w:rPr>
        <w:t>右上角有“退出”按钮，点击可退出系统</w:t>
      </w:r>
      <w:r>
        <w:t>，</w:t>
      </w:r>
      <w:r>
        <w:rPr>
          <w:rFonts w:hint="eastAsia"/>
        </w:rPr>
        <w:t>中间项目列表区域右上角可根据标段名称或者标段编号查询，</w:t>
      </w:r>
      <w:r>
        <w:t>如下图：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187950" cy="2266950"/>
            <wp:effectExtent l="0" t="0" r="6350" b="6350"/>
            <wp:docPr id="7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1"/>
                    <pic:cNvPicPr>
                      <a:picLocks noChangeAspect="1"/>
                    </pic:cNvPicPr>
                  </pic:nvPicPr>
                  <pic:blipFill>
                    <a:blip r:embed="rId32"/>
                    <a:srcRect t="8556" r="1042"/>
                    <a:stretch>
                      <a:fillRect/>
                    </a:stretch>
                  </pic:blipFill>
                  <pic:spPr>
                    <a:xfrm>
                      <a:off x="0" y="0"/>
                      <a:ext cx="518795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84" w:name="_Toc7712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进入开标大厅</w:t>
      </w:r>
      <w:bookmarkEnd w:id="84"/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页面基本内容介绍。</w:t>
      </w:r>
    </w:p>
    <w:p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>无</w:t>
      </w:r>
      <w:r>
        <w:rPr>
          <w:rFonts w:hint="eastAsia" w:ascii="思源宋体 CN" w:hAnsi="思源宋体 CN" w:eastAsia="思源宋体 CN" w:cs="思源宋体 CN"/>
        </w:rPr>
        <w:t>。</w:t>
      </w:r>
    </w:p>
    <w:p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numPr>
          <w:ilvl w:val="0"/>
          <w:numId w:val="5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进入页面首先阅读开标流程，点击“我已阅读”进入开标大厅，点击“取消”返回项目列表页面。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8275" cy="2170430"/>
            <wp:effectExtent l="0" t="0" r="0" b="0"/>
            <wp:docPr id="3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5"/>
                    <pic:cNvPicPr>
                      <a:picLocks noChangeAspect="1"/>
                    </pic:cNvPicPr>
                  </pic:nvPicPr>
                  <pic:blipFill>
                    <a:blip r:embed="rId33"/>
                    <a:srcRect t="9933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17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5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页面上方展示基础信息、右上方有“切换标段”按钮，点击后可返回项目列表页面；</w:t>
      </w:r>
    </w:p>
    <w:p>
      <w:pPr>
        <w:numPr>
          <w:ilvl w:val="0"/>
          <w:numId w:val="5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左侧中间部分是开标环节展示，不同开标过程展示不同的内容；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8750" cy="2202815"/>
            <wp:effectExtent l="0" t="0" r="0" b="0"/>
            <wp:docPr id="4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6"/>
                    <pic:cNvPicPr>
                      <a:picLocks noChangeAspect="1"/>
                    </pic:cNvPicPr>
                  </pic:nvPicPr>
                  <pic:blipFill>
                    <a:blip r:embed="rId34"/>
                    <a:srcRect t="8228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20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5"/>
        </w:numPr>
        <w:ind w:firstLineChars="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右侧上部分为直播，直播开标场景，主持人需开启对应的画面才可观看；直播区域右上角设置可开启或者关闭环境监控、主持人桌面、主持人近景；</w:t>
      </w:r>
    </w:p>
    <w:p>
      <w:pPr>
        <w:pStyle w:val="2"/>
        <w:ind w:firstLine="42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5、右侧下部分为公告及聊天区域，聊天区域右上角设置可开启或关闭群聊、私聊；</w:t>
      </w:r>
    </w:p>
    <w:p>
      <w:pPr>
        <w:ind w:firstLine="0" w:firstLineChars="0"/>
      </w:pPr>
      <w:r>
        <w:drawing>
          <wp:inline distT="0" distB="0" distL="114300" distR="114300">
            <wp:extent cx="5162550" cy="2194560"/>
            <wp:effectExtent l="0" t="0" r="0" b="0"/>
            <wp:docPr id="5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7"/>
                    <pic:cNvPicPr>
                      <a:picLocks noChangeAspect="1"/>
                    </pic:cNvPicPr>
                  </pic:nvPicPr>
                  <pic:blipFill>
                    <a:blip r:embed="rId35"/>
                    <a:srcRect t="11476" r="1526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</w:pPr>
      <w:r>
        <w:drawing>
          <wp:inline distT="0" distB="0" distL="114300" distR="114300">
            <wp:extent cx="5124450" cy="2221865"/>
            <wp:effectExtent l="0" t="0" r="0" b="0"/>
            <wp:docPr id="6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8"/>
                    <pic:cNvPicPr>
                      <a:picLocks noChangeAspect="1"/>
                    </pic:cNvPicPr>
                  </pic:nvPicPr>
                  <pic:blipFill>
                    <a:blip r:embed="rId36"/>
                    <a:srcRect t="10374" r="2252"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222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</w:p>
    <w:p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85" w:name="_Toc4449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等待开标</w:t>
      </w:r>
      <w:bookmarkEnd w:id="85"/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主持人在等待开标时可开启直播。</w:t>
      </w:r>
    </w:p>
    <w:p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>无。</w:t>
      </w:r>
    </w:p>
    <w:p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pStyle w:val="2"/>
        <w:numPr>
          <w:ilvl w:val="0"/>
          <w:numId w:val="6"/>
        </w:numPr>
        <w:ind w:firstLine="42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等待开标时间到之后，主持人页面下方出现“公布投标人”按钮；</w:t>
      </w:r>
    </w:p>
    <w:p>
      <w:pPr>
        <w:pStyle w:val="2"/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8750" cy="2141220"/>
            <wp:effectExtent l="0" t="0" r="0" b="0"/>
            <wp:docPr id="7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9"/>
                    <pic:cNvPicPr>
                      <a:picLocks noChangeAspect="1"/>
                    </pic:cNvPicPr>
                  </pic:nvPicPr>
                  <pic:blipFill>
                    <a:blip r:embed="rId37"/>
                    <a:srcRect t="11147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14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6"/>
        </w:numPr>
        <w:ind w:firstLine="42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点击“公布投标人”按钮公布投标人</w:t>
      </w:r>
    </w:p>
    <w:p>
      <w:pPr>
        <w:pStyle w:val="2"/>
        <w:numPr>
          <w:ilvl w:val="0"/>
          <w:numId w:val="6"/>
        </w:numPr>
        <w:ind w:firstLine="42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公布投标人完成之后，点击“确认”按钮，进入下一步；如果公布失败，请点击“重试”按钮重新同步；</w:t>
      </w:r>
    </w:p>
    <w:p>
      <w:pPr>
        <w:pStyle w:val="2"/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8750" cy="2176780"/>
            <wp:effectExtent l="0" t="0" r="0" b="0"/>
            <wp:docPr id="8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30"/>
                    <pic:cNvPicPr>
                      <a:picLocks noChangeAspect="1"/>
                    </pic:cNvPicPr>
                  </pic:nvPicPr>
                  <pic:blipFill>
                    <a:blip r:embed="rId38"/>
                    <a:srcRect t="9671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17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</w:p>
    <w:p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86" w:name="_Toc1391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查看投标人</w:t>
      </w:r>
      <w:bookmarkEnd w:id="86"/>
    </w:p>
    <w:p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查看投标人名单</w:t>
      </w:r>
      <w:r>
        <w:rPr>
          <w:rFonts w:hint="eastAsia" w:ascii="思源宋体 CN" w:hAnsi="思源宋体 CN" w:eastAsia="思源宋体 CN" w:cs="思源宋体 CN"/>
        </w:rPr>
        <w:t>。</w:t>
      </w:r>
    </w:p>
    <w:p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>主持人已公布投标人</w:t>
      </w:r>
      <w:r>
        <w:rPr>
          <w:rFonts w:hint="eastAsia" w:ascii="思源宋体 CN" w:hAnsi="思源宋体 CN" w:eastAsia="思源宋体 CN" w:cs="思源宋体 CN"/>
        </w:rPr>
        <w:t>。</w:t>
      </w:r>
    </w:p>
    <w:p>
      <w:pPr>
        <w:rPr>
          <w:rFonts w:ascii="思源宋体 CN" w:hAnsi="思源宋体 CN" w:eastAsia="思源宋体 CN" w:cs="思源宋体 CN"/>
          <w:color w:val="FF0000"/>
        </w:rPr>
      </w:pPr>
      <w:r>
        <w:rPr>
          <w:rFonts w:hint="eastAsia" w:ascii="思源宋体 CN" w:hAnsi="思源宋体 CN" w:eastAsia="思源宋体 CN" w:cs="思源宋体 CN"/>
          <w:color w:val="FF0000"/>
        </w:rPr>
        <w:t>注：最终退回的单位无需参加后续流程；</w:t>
      </w:r>
    </w:p>
    <w:p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numPr>
          <w:ilvl w:val="0"/>
          <w:numId w:val="7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可退回投标文件，鼠标移到右上角“退回”按钮之后弹出投标文件退回页面，填写退回原因之后，点击“确认”按钮进行退回操作；</w:t>
      </w:r>
    </w:p>
    <w:p>
      <w:pPr>
        <w:ind w:firstLine="0" w:firstLineChars="0"/>
        <w:rPr>
          <w:rFonts w:ascii="思源宋体 CN" w:hAnsi="思源宋体 CN" w:eastAsia="思源宋体 CN" w:cs="思源宋体 CN"/>
          <w:color w:val="FF0000"/>
        </w:rPr>
      </w:pPr>
      <w:r>
        <w:rPr>
          <w:rFonts w:hint="eastAsia" w:ascii="思源宋体 CN" w:hAnsi="思源宋体 CN" w:eastAsia="思源宋体 CN" w:cs="思源宋体 CN"/>
          <w:color w:val="FF0000"/>
        </w:rPr>
        <w:t xml:space="preserve">    注：请主持人按照相关法律法规以及招标文件要求，慎重确认撤销操作！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187950" cy="2271395"/>
            <wp:effectExtent l="0" t="0" r="0" b="0"/>
            <wp:docPr id="9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31"/>
                    <pic:cNvPicPr>
                      <a:picLocks noChangeAspect="1"/>
                    </pic:cNvPicPr>
                  </pic:nvPicPr>
                  <pic:blipFill>
                    <a:blip r:embed="rId39"/>
                    <a:srcRect t="8376" r="1042"/>
                    <a:stretch>
                      <a:fillRect/>
                    </a:stretch>
                  </pic:blipFill>
                  <pic:spPr>
                    <a:xfrm>
                      <a:off x="0" y="0"/>
                      <a:ext cx="5187950" cy="227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187950" cy="2242820"/>
            <wp:effectExtent l="0" t="0" r="6350" b="5080"/>
            <wp:docPr id="10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2"/>
                    <pic:cNvPicPr>
                      <a:picLocks noChangeAspect="1"/>
                    </pic:cNvPicPr>
                  </pic:nvPicPr>
                  <pic:blipFill>
                    <a:blip r:embed="rId40"/>
                    <a:srcRect t="9529" r="1042"/>
                    <a:stretch>
                      <a:fillRect/>
                    </a:stretch>
                  </pic:blipFill>
                  <pic:spPr>
                    <a:xfrm>
                      <a:off x="0" y="0"/>
                      <a:ext cx="5187950" cy="224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137150" cy="2217420"/>
            <wp:effectExtent l="0" t="0" r="6350" b="5080"/>
            <wp:docPr id="11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33"/>
                    <pic:cNvPicPr>
                      <a:picLocks noChangeAspect="1"/>
                    </pic:cNvPicPr>
                  </pic:nvPicPr>
                  <pic:blipFill>
                    <a:blip r:embed="rId41"/>
                    <a:srcRect t="10553" r="2011"/>
                    <a:stretch>
                      <a:fillRect/>
                    </a:stretch>
                  </pic:blipFill>
                  <pic:spPr>
                    <a:xfrm>
                      <a:off x="0" y="0"/>
                      <a:ext cx="5137150" cy="221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7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可对已退回的投标文件进行取消退回操作；</w:t>
      </w:r>
    </w:p>
    <w:p>
      <w:pPr>
        <w:pStyle w:val="2"/>
        <w:ind w:firstLine="0" w:firstLineChars="0"/>
      </w:pPr>
      <w:r>
        <w:drawing>
          <wp:inline distT="0" distB="0" distL="114300" distR="114300">
            <wp:extent cx="5105400" cy="2243455"/>
            <wp:effectExtent l="0" t="0" r="0" b="4445"/>
            <wp:docPr id="12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34"/>
                    <pic:cNvPicPr>
                      <a:picLocks noChangeAspect="1"/>
                    </pic:cNvPicPr>
                  </pic:nvPicPr>
                  <pic:blipFill>
                    <a:blip r:embed="rId42"/>
                    <a:srcRect t="9503" r="2616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224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175250" cy="2249170"/>
            <wp:effectExtent l="0" t="0" r="6350" b="11430"/>
            <wp:docPr id="13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35"/>
                    <pic:cNvPicPr>
                      <a:picLocks noChangeAspect="1"/>
                    </pic:cNvPicPr>
                  </pic:nvPicPr>
                  <pic:blipFill>
                    <a:blip r:embed="rId43"/>
                    <a:srcRect t="9273" r="1284"/>
                    <a:stretch>
                      <a:fillRect/>
                    </a:stretch>
                  </pic:blipFill>
                  <pic:spPr>
                    <a:xfrm>
                      <a:off x="0" y="0"/>
                      <a:ext cx="5175250" cy="224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7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主持人可点击右上角打印按钮，点击可打印投标人名单；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2560" cy="2479040"/>
            <wp:effectExtent l="0" t="0" r="0" b="0"/>
            <wp:docPr id="14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36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47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7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点击“下一阶段”按钮进入下一阶段；</w:t>
      </w:r>
    </w:p>
    <w:p>
      <w:pPr>
        <w:pStyle w:val="2"/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2560" cy="2479040"/>
            <wp:effectExtent l="0" t="0" r="0" b="0"/>
            <wp:docPr id="15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37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47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87" w:name="_Toc29382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标书解密</w:t>
      </w:r>
      <w:bookmarkEnd w:id="87"/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投标人、招标人进行解密。</w:t>
      </w:r>
    </w:p>
    <w:p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</w:p>
    <w:p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numPr>
          <w:ilvl w:val="0"/>
          <w:numId w:val="8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点击“开始投标解密”按钮后开始投标人解密，若后台配置开启“是否允许延长解密时间”，点击后“开始投标解密”按钮变为“延长解密时间”；若后台配置关闭“是否允许延长解密时间”，点击后“开始投标解密”按钮隐藏。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8275" cy="2177415"/>
            <wp:effectExtent l="0" t="0" r="0" b="0"/>
            <wp:docPr id="16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38"/>
                    <pic:cNvPicPr>
                      <a:picLocks noChangeAspect="1"/>
                    </pic:cNvPicPr>
                  </pic:nvPicPr>
                  <pic:blipFill>
                    <a:blip r:embed="rId46"/>
                    <a:srcRect t="9644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00650" cy="2208530"/>
            <wp:effectExtent l="0" t="0" r="0" b="0"/>
            <wp:docPr id="17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39"/>
                    <pic:cNvPicPr>
                      <a:picLocks noChangeAspect="1"/>
                    </pic:cNvPicPr>
                  </pic:nvPicPr>
                  <pic:blipFill>
                    <a:blip r:embed="rId47"/>
                    <a:srcRect t="10912" r="800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220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8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解密时间已到，尚有投标人未解密完成，主持人可以延长解密时间或者直接进行</w:t>
      </w:r>
      <w:r>
        <w:rPr>
          <w:rFonts w:hint="eastAsia" w:ascii="思源宋体 CN" w:hAnsi="思源宋体 CN" w:eastAsia="思源宋体 CN" w:cs="思源宋体 CN"/>
          <w:lang w:val="en-US" w:eastAsia="zh-CN"/>
        </w:rPr>
        <w:t>下一阶段</w:t>
      </w:r>
      <w:r>
        <w:rPr>
          <w:rFonts w:hint="eastAsia" w:ascii="思源宋体 CN" w:hAnsi="思源宋体 CN" w:eastAsia="思源宋体 CN" w:cs="思源宋体 CN"/>
        </w:rPr>
        <w:t>，点击“延长解密时间”按钮，所有未解密成功的投标人可以继续解密；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00650" cy="2261870"/>
            <wp:effectExtent l="0" t="0" r="6350" b="11430"/>
            <wp:docPr id="18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40"/>
                    <pic:cNvPicPr>
                      <a:picLocks noChangeAspect="1"/>
                    </pic:cNvPicPr>
                  </pic:nvPicPr>
                  <pic:blipFill>
                    <a:blip r:embed="rId48"/>
                    <a:srcRect t="8760" r="799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226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</w:pPr>
    </w:p>
    <w:p>
      <w:pPr>
        <w:numPr>
          <w:ilvl w:val="0"/>
          <w:numId w:val="8"/>
        </w:numPr>
        <w:ind w:left="630" w:right="210" w:rightChars="100" w:firstLine="0" w:firstLineChars="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主持人点击“下一阶段”按钮进入下一阶段。</w:t>
      </w:r>
    </w:p>
    <w:p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88" w:name="_Toc30063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批量导入</w:t>
      </w:r>
      <w:bookmarkEnd w:id="88"/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批量导入文件。</w:t>
      </w:r>
    </w:p>
    <w:p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>解密成功。</w:t>
      </w:r>
    </w:p>
    <w:p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numPr>
          <w:ilvl w:val="0"/>
          <w:numId w:val="9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点击“导入”按钮；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175250" cy="2219325"/>
            <wp:effectExtent l="0" t="0" r="0" b="0"/>
            <wp:docPr id="19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41"/>
                    <pic:cNvPicPr>
                      <a:picLocks noChangeAspect="1"/>
                    </pic:cNvPicPr>
                  </pic:nvPicPr>
                  <pic:blipFill>
                    <a:blip r:embed="rId49"/>
                    <a:srcRect t="10477" r="1283"/>
                    <a:stretch>
                      <a:fillRect/>
                    </a:stretch>
                  </pic:blipFill>
                  <pic:spPr>
                    <a:xfrm>
                      <a:off x="0" y="0"/>
                      <a:ext cx="517525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07000" cy="2256790"/>
            <wp:effectExtent l="0" t="0" r="0" b="0"/>
            <wp:docPr id="20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42"/>
                    <pic:cNvPicPr>
                      <a:picLocks noChangeAspect="1"/>
                    </pic:cNvPicPr>
                  </pic:nvPicPr>
                  <pic:blipFill>
                    <a:blip r:embed="rId50"/>
                    <a:srcRect t="8965" r="679"/>
                    <a:stretch>
                      <a:fillRect/>
                    </a:stretch>
                  </pic:blipFill>
                  <pic:spPr>
                    <a:xfrm>
                      <a:off x="0" y="0"/>
                      <a:ext cx="5207000" cy="225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导入完成之后，点击“确认”按钮；如果导入失败，可再次点击“导入”按钮重新导入失败的单位；点击“下一阶段”按钮进入下一阶段</w:t>
      </w:r>
    </w:p>
    <w:p>
      <w:pPr>
        <w:pStyle w:val="2"/>
        <w:ind w:firstLine="0" w:firstLineChars="0"/>
      </w:pPr>
      <w:r>
        <w:drawing>
          <wp:inline distT="0" distB="0" distL="114300" distR="114300">
            <wp:extent cx="5130800" cy="2214880"/>
            <wp:effectExtent l="0" t="0" r="0" b="0"/>
            <wp:docPr id="21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43"/>
                    <pic:cNvPicPr>
                      <a:picLocks noChangeAspect="1"/>
                    </pic:cNvPicPr>
                  </pic:nvPicPr>
                  <pic:blipFill>
                    <a:blip r:embed="rId51"/>
                    <a:srcRect t="10655" r="2132"/>
                    <a:stretch>
                      <a:fillRect/>
                    </a:stretch>
                  </pic:blipFill>
                  <pic:spPr>
                    <a:xfrm>
                      <a:off x="0" y="0"/>
                      <a:ext cx="5130800" cy="221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</w:pPr>
      <w:r>
        <w:drawing>
          <wp:inline distT="0" distB="0" distL="114300" distR="114300">
            <wp:extent cx="5105400" cy="2233930"/>
            <wp:effectExtent l="0" t="0" r="0" b="0"/>
            <wp:docPr id="22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44"/>
                    <pic:cNvPicPr>
                      <a:picLocks noChangeAspect="1"/>
                    </pic:cNvPicPr>
                  </pic:nvPicPr>
                  <pic:blipFill>
                    <a:blip r:embed="rId52"/>
                    <a:srcRect t="9888" r="2617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223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</w:p>
    <w:p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89" w:name="_Toc22486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唱标</w:t>
      </w:r>
      <w:bookmarkEnd w:id="89"/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唱标。</w:t>
      </w:r>
    </w:p>
    <w:p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  <w:lang w:val="en-US" w:eastAsia="zh-CN"/>
        </w:rPr>
        <w:t>批量导入</w:t>
      </w:r>
      <w:r>
        <w:rPr>
          <w:rFonts w:hint="eastAsia" w:ascii="思源宋体 CN" w:hAnsi="思源宋体 CN" w:eastAsia="思源宋体 CN" w:cs="思源宋体 CN"/>
          <w:bCs/>
        </w:rPr>
        <w:t>完成</w:t>
      </w:r>
      <w:r>
        <w:rPr>
          <w:rFonts w:hint="eastAsia" w:ascii="思源宋体 CN" w:hAnsi="思源宋体 CN" w:eastAsia="思源宋体 CN" w:cs="思源宋体 CN"/>
        </w:rPr>
        <w:t>。</w:t>
      </w:r>
    </w:p>
    <w:p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1、可以选择单位添加备注信息，备注单位将不进入后续评标环节。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086350" cy="2204720"/>
            <wp:effectExtent l="0" t="0" r="0" b="0"/>
            <wp:docPr id="23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45"/>
                    <pic:cNvPicPr>
                      <a:picLocks noChangeAspect="1"/>
                    </pic:cNvPicPr>
                  </pic:nvPicPr>
                  <pic:blipFill>
                    <a:blip r:embed="rId53"/>
                    <a:srcRect t="11066" r="2980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220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both"/>
      </w:pPr>
      <w:r>
        <w:drawing>
          <wp:inline distT="0" distB="0" distL="114300" distR="114300">
            <wp:extent cx="5067300" cy="2255520"/>
            <wp:effectExtent l="0" t="0" r="0" b="0"/>
            <wp:docPr id="24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46"/>
                    <pic:cNvPicPr>
                      <a:picLocks noChangeAspect="1"/>
                    </pic:cNvPicPr>
                  </pic:nvPicPr>
                  <pic:blipFill>
                    <a:blip r:embed="rId54"/>
                    <a:srcRect t="9016" r="3343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225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</w:pPr>
      <w:r>
        <w:drawing>
          <wp:inline distT="0" distB="0" distL="114300" distR="114300">
            <wp:extent cx="5048250" cy="2275840"/>
            <wp:effectExtent l="0" t="0" r="0" b="0"/>
            <wp:docPr id="25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47"/>
                    <pic:cNvPicPr>
                      <a:picLocks noChangeAspect="1"/>
                    </pic:cNvPicPr>
                  </pic:nvPicPr>
                  <pic:blipFill>
                    <a:blip r:embed="rId55"/>
                    <a:srcRect t="8197" r="3706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227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rPr>
          <w:rFonts w:ascii="思源宋体 CN" w:hAnsi="思源宋体 CN" w:eastAsia="思源宋体 CN" w:cs="思源宋体 CN"/>
        </w:rPr>
      </w:pPr>
    </w:p>
    <w:p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3、点击“下一阶段”按钮进入下一阶段。</w:t>
      </w:r>
    </w:p>
    <w:p>
      <w:pPr>
        <w:pStyle w:val="2"/>
        <w:ind w:firstLine="0" w:firstLineChars="0"/>
      </w:pPr>
      <w:r>
        <w:drawing>
          <wp:inline distT="0" distB="0" distL="114300" distR="114300">
            <wp:extent cx="5060950" cy="2233930"/>
            <wp:effectExtent l="0" t="0" r="0" b="0"/>
            <wp:docPr id="26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48"/>
                    <pic:cNvPicPr>
                      <a:picLocks noChangeAspect="1"/>
                    </pic:cNvPicPr>
                  </pic:nvPicPr>
                  <pic:blipFill>
                    <a:blip r:embed="rId56"/>
                    <a:srcRect t="9888" r="3464"/>
                    <a:stretch>
                      <a:fillRect/>
                    </a:stretch>
                  </pic:blipFill>
                  <pic:spPr>
                    <a:xfrm>
                      <a:off x="0" y="0"/>
                      <a:ext cx="5060950" cy="223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</w:pPr>
    </w:p>
    <w:p>
      <w:pPr>
        <w:pStyle w:val="2"/>
        <w:ind w:firstLine="0" w:firstLineChars="0"/>
      </w:pPr>
    </w:p>
    <w:p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90" w:name="_Toc21039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开标结束</w:t>
      </w:r>
      <w:bookmarkEnd w:id="90"/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开标结束。</w:t>
      </w:r>
    </w:p>
    <w:p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>唱标结束。</w:t>
      </w:r>
    </w:p>
    <w:p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点击“开标结束”按钮可以开标结束；页面中间有“开标记录表”按钮，点击可打印开标记录表；</w:t>
      </w:r>
    </w:p>
    <w:p>
      <w:pPr>
        <w:pStyle w:val="2"/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099050" cy="2211705"/>
            <wp:effectExtent l="0" t="0" r="0" b="0"/>
            <wp:docPr id="27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49"/>
                    <pic:cNvPicPr>
                      <a:picLocks noChangeAspect="1"/>
                    </pic:cNvPicPr>
                  </pic:nvPicPr>
                  <pic:blipFill>
                    <a:blip r:embed="rId57"/>
                    <a:srcRect t="10783" r="2737"/>
                    <a:stretch>
                      <a:fillRect/>
                    </a:stretch>
                  </pic:blipFill>
                  <pic:spPr>
                    <a:xfrm>
                      <a:off x="0" y="0"/>
                      <a:ext cx="5099050" cy="221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both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118100" cy="2233295"/>
            <wp:effectExtent l="0" t="0" r="0" b="0"/>
            <wp:docPr id="28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50"/>
                    <pic:cNvPicPr>
                      <a:picLocks noChangeAspect="1"/>
                    </pic:cNvPicPr>
                  </pic:nvPicPr>
                  <pic:blipFill>
                    <a:blip r:embed="rId58"/>
                    <a:srcRect t="9914" r="2374"/>
                    <a:stretch>
                      <a:fillRect/>
                    </a:stretch>
                  </pic:blipFill>
                  <pic:spPr>
                    <a:xfrm>
                      <a:off x="0" y="0"/>
                      <a:ext cx="5118100" cy="223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both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175250" cy="2303145"/>
            <wp:effectExtent l="0" t="0" r="0" b="0"/>
            <wp:docPr id="29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51"/>
                    <pic:cNvPicPr>
                      <a:picLocks noChangeAspect="1"/>
                    </pic:cNvPicPr>
                  </pic:nvPicPr>
                  <pic:blipFill>
                    <a:blip r:embed="rId59"/>
                    <a:srcRect t="7095" r="1283"/>
                    <a:stretch>
                      <a:fillRect/>
                    </a:stretch>
                  </pic:blipFill>
                  <pic:spPr>
                    <a:xfrm>
                      <a:off x="0" y="0"/>
                      <a:ext cx="5175250" cy="230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420"/>
      </w:pPr>
    </w:p>
    <w:p>
      <w:pPr>
        <w:keepNext/>
        <w:keepLines/>
        <w:widowControl w:val="0"/>
        <w:numPr>
          <w:ilvl w:val="0"/>
          <w:numId w:val="2"/>
        </w:numPr>
        <w:spacing w:before="120" w:after="120" w:line="360" w:lineRule="auto"/>
        <w:ind w:left="0" w:leftChars="0" w:firstLine="0" w:firstLineChars="0"/>
        <w:jc w:val="both"/>
        <w:outlineLvl w:val="0"/>
        <w:rPr>
          <w:rFonts w:hint="eastAsia" w:ascii="Times New Roman" w:hAnsi="Times New Roman" w:cs="Times New Roman"/>
          <w:b/>
          <w:bCs/>
          <w:kern w:val="44"/>
          <w:sz w:val="32"/>
          <w:szCs w:val="28"/>
          <w:lang w:val="en-US" w:eastAsia="zh-CN" w:bidi="ar-SA"/>
        </w:rPr>
      </w:pPr>
      <w:bookmarkStart w:id="91" w:name="_Toc7272"/>
      <w:r>
        <w:rPr>
          <w:rFonts w:hint="eastAsia" w:ascii="Times New Roman" w:hAnsi="Times New Roman" w:cs="Times New Roman"/>
          <w:b/>
          <w:bCs/>
          <w:kern w:val="44"/>
          <w:sz w:val="32"/>
          <w:szCs w:val="28"/>
          <w:lang w:val="en-US" w:eastAsia="zh-CN" w:bidi="ar-SA"/>
        </w:rPr>
        <w:t>虚拟开标大厅辅助功能</w:t>
      </w:r>
      <w:bookmarkEnd w:id="91"/>
    </w:p>
    <w:p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92" w:name="_Toc30754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语音异议</w:t>
      </w:r>
      <w:bookmarkEnd w:id="92"/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投标人在开标过程中可以通过语音提问给主持人提问，主持人回答。</w:t>
      </w:r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>开标结束之前。</w:t>
      </w:r>
    </w:p>
    <w:p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numPr>
          <w:ilvl w:val="0"/>
          <w:numId w:val="10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投标人发起异议之后，直播区域右下角的摄像头图标出现红点提示，点击可查看异议信息；</w:t>
      </w:r>
    </w:p>
    <w:p>
      <w:pPr>
        <w:ind w:firstLine="0" w:firstLineChars="0"/>
        <w:jc w:val="both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8275" cy="2209800"/>
            <wp:effectExtent l="0" t="0" r="0" b="0"/>
            <wp:docPr id="30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52"/>
                    <pic:cNvPicPr>
                      <a:picLocks noChangeAspect="1"/>
                    </pic:cNvPicPr>
                  </pic:nvPicPr>
                  <pic:blipFill>
                    <a:blip r:embed="rId60"/>
                    <a:srcRect t="7936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"/>
        </w:numPr>
        <w:jc w:val="both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点击绿色接通图标即可与投标人通话，点击红色挂断按钮即可挂断与投标人通话；</w:t>
      </w:r>
    </w:p>
    <w:p>
      <w:pPr>
        <w:pStyle w:val="2"/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8750" cy="2174875"/>
            <wp:effectExtent l="0" t="0" r="0" b="0"/>
            <wp:docPr id="31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53"/>
                    <pic:cNvPicPr>
                      <a:picLocks noChangeAspect="1"/>
                    </pic:cNvPicPr>
                  </pic:nvPicPr>
                  <pic:blipFill>
                    <a:blip r:embed="rId61"/>
                    <a:srcRect t="9392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17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93" w:name="_Toc17205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文字异议</w:t>
      </w:r>
      <w:bookmarkEnd w:id="93"/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投标人在开标过程中可以通过文字提问给主持人提问，主持人回答。</w:t>
      </w:r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>开标结束之前。</w:t>
      </w:r>
    </w:p>
    <w:p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numPr>
          <w:ilvl w:val="0"/>
          <w:numId w:val="11"/>
        </w:numPr>
        <w:ind w:firstLineChars="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投标人发起异议之后，右下角“异议答复”按钮上会有红点提醒，点击“异议答复”可查看异议信息；</w:t>
      </w:r>
    </w:p>
    <w:p>
      <w:pPr>
        <w:ind w:firstLine="0" w:firstLineChars="0"/>
        <w:jc w:val="both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8750" cy="2183765"/>
            <wp:effectExtent l="0" t="0" r="0" b="0"/>
            <wp:docPr id="32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54"/>
                    <pic:cNvPicPr>
                      <a:picLocks noChangeAspect="1"/>
                    </pic:cNvPicPr>
                  </pic:nvPicPr>
                  <pic:blipFill>
                    <a:blip r:embed="rId62"/>
                    <a:srcRect t="9381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18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both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8275" cy="2198370"/>
            <wp:effectExtent l="0" t="0" r="0" b="0"/>
            <wp:docPr id="33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55"/>
                    <pic:cNvPicPr>
                      <a:picLocks noChangeAspect="1"/>
                    </pic:cNvPicPr>
                  </pic:nvPicPr>
                  <pic:blipFill>
                    <a:blip r:embed="rId63"/>
                    <a:srcRect t="8775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19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"/>
        </w:numPr>
        <w:jc w:val="both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点击未回复异议的“查看”按钮可以进行回复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8275" cy="2198370"/>
            <wp:effectExtent l="0" t="0" r="0" b="0"/>
            <wp:docPr id="34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56"/>
                    <pic:cNvPicPr>
                      <a:picLocks noChangeAspect="1"/>
                    </pic:cNvPicPr>
                  </pic:nvPicPr>
                  <pic:blipFill>
                    <a:blip r:embed="rId64"/>
                    <a:srcRect t="8775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19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8275" cy="2216785"/>
            <wp:effectExtent l="0" t="0" r="0" b="0"/>
            <wp:docPr id="35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57"/>
                    <pic:cNvPicPr>
                      <a:picLocks noChangeAspect="1"/>
                    </pic:cNvPicPr>
                  </pic:nvPicPr>
                  <pic:blipFill>
                    <a:blip r:embed="rId65"/>
                    <a:srcRect t="7646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21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 w:cs="思源宋体 CN"/>
        </w:rPr>
      </w:pPr>
    </w:p>
    <w:p>
      <w:pPr>
        <w:rPr>
          <w:rFonts w:ascii="思源宋体 CN" w:hAnsi="思源宋体 CN" w:eastAsia="思源宋体 CN" w:cs="思源宋体 CN"/>
        </w:rPr>
      </w:pPr>
    </w:p>
    <w:p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94" w:name="_Toc24294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终止开标</w:t>
      </w:r>
      <w:bookmarkEnd w:id="94"/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主持人在开标过程中发现有异常情况需要流标。</w:t>
      </w:r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</w:p>
    <w:p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numPr>
          <w:ilvl w:val="0"/>
          <w:numId w:val="12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右下部分有“终止开标”按钮，点击“终止开标”按钮，录入原因，点击确认之后将流标；</w:t>
      </w:r>
    </w:p>
    <w:p>
      <w:pPr>
        <w:pStyle w:val="2"/>
        <w:ind w:firstLine="420"/>
        <w:rPr>
          <w:rFonts w:ascii="思源宋体 CN" w:hAnsi="思源宋体 CN" w:eastAsia="思源宋体 CN" w:cs="思源宋体 CN"/>
        </w:rPr>
      </w:pPr>
      <w:r>
        <w:rPr>
          <w:rFonts w:hint="eastAsia"/>
        </w:rPr>
        <w:tab/>
      </w:r>
      <w:r>
        <w:rPr>
          <w:rFonts w:hint="eastAsia" w:ascii="思源宋体 CN" w:hAnsi="思源宋体 CN" w:eastAsia="思源宋体 CN" w:cs="思源宋体 CN"/>
        </w:rPr>
        <w:t>2、当管理员启用有效单位限制时，任何流程阶段出现单位数量小于3家时，便无法进入下一阶段，强制弹出终止开标弹窗。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8750" cy="2155825"/>
            <wp:effectExtent l="0" t="0" r="0" b="0"/>
            <wp:docPr id="36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58"/>
                    <pic:cNvPicPr>
                      <a:picLocks noChangeAspect="1"/>
                    </pic:cNvPicPr>
                  </pic:nvPicPr>
                  <pic:blipFill>
                    <a:blip r:embed="rId66"/>
                    <a:srcRect t="10541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15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8275" cy="2181860"/>
            <wp:effectExtent l="0" t="0" r="0" b="0"/>
            <wp:docPr id="37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59"/>
                    <pic:cNvPicPr>
                      <a:picLocks noChangeAspect="1"/>
                    </pic:cNvPicPr>
                  </pic:nvPicPr>
                  <pic:blipFill>
                    <a:blip r:embed="rId67"/>
                    <a:srcRect t="9100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18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420"/>
      </w:pPr>
    </w:p>
    <w:p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95" w:name="_Toc3591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公告栏</w:t>
      </w:r>
      <w:bookmarkEnd w:id="95"/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显示当前阶段信息、主持人参数抽取、暂停、解密等信息。</w:t>
      </w:r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</w:p>
    <w:p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右侧下部分是公告栏，主要展示阶段信息、主持人参数抽取、解密等信息；点击右上角放大镜可查看更多；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8750" cy="2205355"/>
            <wp:effectExtent l="0" t="0" r="0" b="0"/>
            <wp:docPr id="38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60"/>
                    <pic:cNvPicPr>
                      <a:picLocks noChangeAspect="1"/>
                    </pic:cNvPicPr>
                  </pic:nvPicPr>
                  <pic:blipFill>
                    <a:blip r:embed="rId68"/>
                    <a:srcRect t="8485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20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8750" cy="2273300"/>
            <wp:effectExtent l="0" t="0" r="0" b="0"/>
            <wp:docPr id="39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61"/>
                    <pic:cNvPicPr>
                      <a:picLocks noChangeAspect="1"/>
                    </pic:cNvPicPr>
                  </pic:nvPicPr>
                  <pic:blipFill>
                    <a:blip r:embed="rId69"/>
                    <a:srcRect t="5292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27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</w:p>
    <w:p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96" w:name="_Toc20282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群聊</w:t>
      </w:r>
      <w:bookmarkEnd w:id="96"/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主持人可以和投标人在线交流。</w:t>
      </w:r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</w:p>
    <w:p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numPr>
          <w:ilvl w:val="0"/>
          <w:numId w:val="13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聊天区域右上角的齿轮图标中可以勾选是否开启私聊或者群聊，勾选群聊选项开启群聊。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8275" cy="2183765"/>
            <wp:effectExtent l="0" t="0" r="0" b="0"/>
            <wp:docPr id="40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62"/>
                    <pic:cNvPicPr>
                      <a:picLocks noChangeAspect="1"/>
                    </pic:cNvPicPr>
                  </pic:nvPicPr>
                  <pic:blipFill>
                    <a:blip r:embed="rId70"/>
                    <a:srcRect t="9381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18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 xml:space="preserve">2、点击 </w:t>
      </w:r>
      <w:r>
        <w:rPr>
          <w:rFonts w:ascii="思源宋体 CN" w:hAnsi="思源宋体 CN" w:eastAsia="思源宋体 CN" w:cs="思源宋体 CN"/>
        </w:rPr>
        <w:drawing>
          <wp:inline distT="0" distB="0" distL="114300" distR="114300">
            <wp:extent cx="314325" cy="314325"/>
            <wp:effectExtent l="0" t="0" r="0" b="0"/>
            <wp:docPr id="41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63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" w:hAnsi="思源宋体 CN" w:eastAsia="思源宋体 CN" w:cs="思源宋体 CN"/>
        </w:rPr>
        <w:t xml:space="preserve"> 可以录制短语音，第一次点击会弹出</w:t>
      </w:r>
      <w:r>
        <w:rPr>
          <w:rFonts w:hint="eastAsia" w:ascii="思源宋体 CN" w:hAnsi="思源宋体 CN" w:eastAsia="思源宋体 CN" w:cs="思源宋体 CN"/>
          <w:lang w:eastAsia="zh-Hans"/>
        </w:rPr>
        <w:t xml:space="preserve">Adobe Flash Player </w:t>
      </w:r>
      <w:r>
        <w:rPr>
          <w:rFonts w:hint="eastAsia" w:ascii="思源宋体 CN" w:hAnsi="思源宋体 CN" w:eastAsia="思源宋体 CN" w:cs="思源宋体 CN"/>
        </w:rPr>
        <w:t>设置窗口，点击允许；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8275" cy="2183765"/>
            <wp:effectExtent l="0" t="0" r="0" b="0"/>
            <wp:docPr id="42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64"/>
                    <pic:cNvPicPr>
                      <a:picLocks noChangeAspect="1"/>
                    </pic:cNvPicPr>
                  </pic:nvPicPr>
                  <pic:blipFill>
                    <a:blip r:embed="rId72"/>
                    <a:srcRect t="9381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18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允许后会显示正在录音，点击“确定”发送语音，点击“取消”取消发送；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8275" cy="2181225"/>
            <wp:effectExtent l="0" t="0" r="0" b="0"/>
            <wp:docPr id="43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65"/>
                    <pic:cNvPicPr>
                      <a:picLocks noChangeAspect="1"/>
                    </pic:cNvPicPr>
                  </pic:nvPicPr>
                  <pic:blipFill>
                    <a:blip r:embed="rId73"/>
                    <a:srcRect t="9126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8275" cy="2197735"/>
            <wp:effectExtent l="0" t="0" r="0" b="0"/>
            <wp:docPr id="44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66"/>
                    <pic:cNvPicPr>
                      <a:picLocks noChangeAspect="1"/>
                    </pic:cNvPicPr>
                  </pic:nvPicPr>
                  <pic:blipFill>
                    <a:blip r:embed="rId74"/>
                    <a:srcRect t="8801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19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超过60秒不发送会自动取消发送，并提示如图：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8750" cy="2183765"/>
            <wp:effectExtent l="0" t="0" r="0" b="0"/>
            <wp:docPr id="45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67"/>
                    <pic:cNvPicPr>
                      <a:picLocks noChangeAspect="1"/>
                    </pic:cNvPicPr>
                  </pic:nvPicPr>
                  <pic:blipFill>
                    <a:blip r:embed="rId75"/>
                    <a:srcRect t="9381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18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 w:leftChars="200" w:firstLine="0" w:firstLineChars="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 xml:space="preserve">3、点击 </w:t>
      </w:r>
      <w:r>
        <w:rPr>
          <w:rFonts w:ascii="思源宋体 CN" w:hAnsi="思源宋体 CN" w:eastAsia="思源宋体 CN" w:cs="思源宋体 CN"/>
        </w:rPr>
        <w:drawing>
          <wp:inline distT="0" distB="0" distL="114300" distR="114300">
            <wp:extent cx="295275" cy="314325"/>
            <wp:effectExtent l="0" t="0" r="0" b="0"/>
            <wp:docPr id="46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68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" w:hAnsi="思源宋体 CN" w:eastAsia="思源宋体 CN" w:cs="思源宋体 CN"/>
        </w:rPr>
        <w:t xml:space="preserve"> 可以发送文件；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支持的文件后缀：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doc,docx,xls,xlsx,ppt,pptx,pdf,zip,rar,7z,mp3,wav,flv,mp4,wmv,jpg,jpeg,png,bmp,gif,txt,</w:t>
      </w:r>
      <w:r>
        <w:drawing>
          <wp:inline distT="0" distB="0" distL="114300" distR="114300">
            <wp:extent cx="5248275" cy="2184400"/>
            <wp:effectExtent l="0" t="0" r="0" b="0"/>
            <wp:docPr id="47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69"/>
                    <pic:cNvPicPr>
                      <a:picLocks noChangeAspect="1"/>
                    </pic:cNvPicPr>
                  </pic:nvPicPr>
                  <pic:blipFill>
                    <a:blip r:embed="rId77"/>
                    <a:srcRect t="9355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18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4、后台特征配置“是否允许开标结束后聊天”，控制开标结束后是否可以开启私聊群聊。</w:t>
      </w:r>
    </w:p>
    <w:p>
      <w:pPr>
        <w:pStyle w:val="2"/>
        <w:ind w:firstLine="420"/>
      </w:pPr>
    </w:p>
    <w:p>
      <w:pPr>
        <w:ind w:firstLine="0" w:firstLineChars="0"/>
        <w:rPr>
          <w:rFonts w:ascii="思源宋体 CN" w:hAnsi="思源宋体 CN" w:eastAsia="思源宋体 CN" w:cs="思源宋体 CN"/>
        </w:rPr>
      </w:pPr>
    </w:p>
    <w:p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97" w:name="_Toc24655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开标小组聊天</w:t>
      </w:r>
      <w:bookmarkEnd w:id="97"/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开标小组成员可以互相交流、聊天。</w:t>
      </w:r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</w:p>
    <w:p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开标小组成员：招标人、招标代理、监管人、公证人、交易中心人员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8750" cy="2226310"/>
            <wp:effectExtent l="0" t="0" r="0" b="0"/>
            <wp:docPr id="48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70"/>
                    <pic:cNvPicPr>
                      <a:picLocks noChangeAspect="1"/>
                    </pic:cNvPicPr>
                  </pic:nvPicPr>
                  <pic:blipFill>
                    <a:blip r:embed="rId78"/>
                    <a:srcRect t="7616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22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98" w:name="_Toc11697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私聊</w:t>
      </w:r>
      <w:bookmarkEnd w:id="98"/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主持人可以和投标人进行私聊。</w:t>
      </w:r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>开启私聊</w:t>
      </w:r>
    </w:p>
    <w:p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1、点击聊天区域的私聊按钮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8275" cy="2176780"/>
            <wp:effectExtent l="0" t="0" r="0" b="0"/>
            <wp:docPr id="49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71"/>
                    <pic:cNvPicPr>
                      <a:picLocks noChangeAspect="1"/>
                    </pic:cNvPicPr>
                  </pic:nvPicPr>
                  <pic:blipFill>
                    <a:blip r:embed="rId79"/>
                    <a:srcRect t="9671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17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210" w:firstLineChars="10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2、弹出单位列表页面，点击私聊按钮（只能选择在线的投标人）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8750" cy="2273300"/>
            <wp:effectExtent l="0" t="0" r="0" b="0"/>
            <wp:docPr id="50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72"/>
                    <pic:cNvPicPr>
                      <a:picLocks noChangeAspect="1"/>
                    </pic:cNvPicPr>
                  </pic:nvPicPr>
                  <pic:blipFill>
                    <a:blip r:embed="rId80"/>
                    <a:srcRect t="5292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27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210" w:firstLineChars="10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3、弹出私聊对话框，主持人可与投标人进行私聊。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8750" cy="2282825"/>
            <wp:effectExtent l="0" t="0" r="0" b="0"/>
            <wp:docPr id="51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73"/>
                    <pic:cNvPicPr>
                      <a:picLocks noChangeAspect="1"/>
                    </pic:cNvPicPr>
                  </pic:nvPicPr>
                  <pic:blipFill>
                    <a:blip r:embed="rId81"/>
                    <a:srcRect t="5270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28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210" w:firstLineChars="10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4、点击“私聊记录”，可显示历史聊天记录。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8750" cy="2317750"/>
            <wp:effectExtent l="0" t="0" r="0" b="0"/>
            <wp:docPr id="52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74"/>
                    <pic:cNvPicPr>
                      <a:picLocks noChangeAspect="1"/>
                    </pic:cNvPicPr>
                  </pic:nvPicPr>
                  <pic:blipFill>
                    <a:blip r:embed="rId82"/>
                    <a:srcRect t="3821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31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</w:p>
    <w:p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99" w:name="_Toc1947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人员列表</w:t>
      </w:r>
      <w:bookmarkEnd w:id="99"/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显示所有的投标人及游客，可以踢出。</w:t>
      </w:r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</w:p>
    <w:p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ind w:firstLine="0" w:firstLineChars="0"/>
        <w:rPr>
          <w:rFonts w:ascii="黑体" w:hAnsi="黑体" w:eastAsia="黑体" w:cs="黑体"/>
        </w:rPr>
      </w:pPr>
      <w:r>
        <w:rPr>
          <w:rFonts w:hint="eastAsia" w:ascii="思源宋体 CN" w:hAnsi="思源宋体 CN" w:eastAsia="思源宋体 CN" w:cs="思源宋体 CN"/>
        </w:rPr>
        <w:t>点击右上方快捷菜单中的“人员列表”按钮，可查看投标人、游客的登陆信息，游客列表、踢出、联系人信息可根据后台特征配置控制显隐。</w:t>
      </w:r>
    </w:p>
    <w:p>
      <w:pPr>
        <w:rPr>
          <w:rFonts w:ascii="思源宋体 CN" w:hAnsi="思源宋体 CN" w:eastAsia="思源宋体 CN" w:cs="思源宋体 CN"/>
        </w:rPr>
      </w:pP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8275" cy="2310765"/>
            <wp:effectExtent l="0" t="0" r="0" b="0"/>
            <wp:docPr id="53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75"/>
                    <pic:cNvPicPr>
                      <a:picLocks noChangeAspect="1"/>
                    </pic:cNvPicPr>
                  </pic:nvPicPr>
                  <pic:blipFill>
                    <a:blip r:embed="rId83"/>
                    <a:srcRect t="4111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31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8275" cy="2268855"/>
            <wp:effectExtent l="0" t="0" r="0" b="0"/>
            <wp:docPr id="54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76"/>
                    <pic:cNvPicPr>
                      <a:picLocks noChangeAspect="1"/>
                    </pic:cNvPicPr>
                  </pic:nvPicPr>
                  <pic:blipFill>
                    <a:blip r:embed="rId84"/>
                    <a:srcRect t="5850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26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8750" cy="2340610"/>
            <wp:effectExtent l="0" t="0" r="0" b="0"/>
            <wp:docPr id="55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77"/>
                    <pic:cNvPicPr>
                      <a:picLocks noChangeAspect="1"/>
                    </pic:cNvPicPr>
                  </pic:nvPicPr>
                  <pic:blipFill>
                    <a:blip r:embed="rId85"/>
                    <a:srcRect t="6209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34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1440" w:right="1797" w:bottom="1440" w:left="1843" w:header="794" w:footer="680" w:gutter="0"/>
      <w:pgNumType w:start="0"/>
      <w:cols w:space="720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_GB2312">
    <w:altName w:val="楷体"/>
    <w:panose1 w:val="00000000000000000000"/>
    <w:charset w:val="86"/>
    <w:family w:val="auto"/>
    <w:pitch w:val="default"/>
    <w:sig w:usb0="00000000" w:usb1="00000000" w:usb2="0000001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Arial Unicode MS">
    <w:altName w:val="宋体"/>
    <w:panose1 w:val="020B0604020202020204"/>
    <w:charset w:val="86"/>
    <w:family w:val="swiss"/>
    <w:pitch w:val="default"/>
    <w:sig w:usb0="00000000" w:usb1="00000000" w:usb2="0000003F" w:usb3="00000000" w:csb0="603F01FF" w:csb1="FFFF0000"/>
  </w:font>
  <w:font w:name="Verdana">
    <w:panose1 w:val="020B0604030504040204"/>
    <w:charset w:val="00"/>
    <w:family w:val="swiss"/>
    <w:pitch w:val="default"/>
    <w:sig w:usb0="A00006FF" w:usb1="4000205B" w:usb2="00000010" w:usb3="00000000" w:csb0="2000019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仿宋_GB2312">
    <w:altName w:val="仿宋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华文新魏">
    <w:altName w:val="宋体"/>
    <w:panose1 w:val="02010800040101010101"/>
    <w:charset w:val="86"/>
    <w:family w:val="auto"/>
    <w:pitch w:val="default"/>
    <w:sig w:usb0="00000000" w:usb1="00000000" w:usb2="00000000" w:usb3="00000000" w:csb0="00040000" w:csb1="00000000"/>
  </w:font>
  <w:font w:name="思源宋体 CN">
    <w:altName w:val="宋体"/>
    <w:panose1 w:val="00000000000000000000"/>
    <w:charset w:val="86"/>
    <w:family w:val="auto"/>
    <w:pitch w:val="default"/>
    <w:sig w:usb0="00000000" w:usb1="00000000" w:usb2="00000016" w:usb3="00000000" w:csb0="60060107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7"/>
      <w:pBdr>
        <w:top w:val="single" w:color="9BBB59" w:sz="24" w:space="5"/>
      </w:pBdr>
      <w:wordWrap w:val="0"/>
      <w:spacing w:line="240" w:lineRule="auto"/>
      <w:ind w:firstLine="360"/>
      <w:jc w:val="right"/>
      <w:rPr>
        <w:rFonts w:hint="default" w:eastAsia="思源宋体 CN"/>
        <w:lang w:val="en-US" w:eastAsia="zh-CN"/>
      </w:rPr>
    </w:pPr>
    <w:r>
      <w:rPr>
        <w:rFonts w:hint="eastAsia" w:ascii="思源宋体 CN" w:hAnsi="思源宋体 CN" w:eastAsia="思源宋体 CN" w:cs="思源宋体 CN"/>
        <w:lang w:val="zh-CN"/>
      </w:rPr>
      <w:t xml:space="preserve">国泰新点软件股份有限公司0512-58188000                    </w:t>
    </w:r>
    <w:r>
      <w:rPr>
        <w:rFonts w:hint="eastAsia" w:ascii="思源宋体 CN" w:hAnsi="思源宋体 CN" w:eastAsia="思源宋体 CN" w:cs="思源宋体 CN"/>
      </w:rPr>
      <w:fldChar w:fldCharType="begin"/>
    </w:r>
    <w:r>
      <w:rPr>
        <w:rFonts w:hint="eastAsia" w:ascii="思源宋体 CN" w:hAnsi="思源宋体 CN" w:eastAsia="思源宋体 CN" w:cs="思源宋体 CN"/>
      </w:rPr>
      <w:instrText xml:space="preserve"> PAGE </w:instrText>
    </w:r>
    <w:r>
      <w:rPr>
        <w:rFonts w:hint="eastAsia" w:ascii="思源宋体 CN" w:hAnsi="思源宋体 CN" w:eastAsia="思源宋体 CN" w:cs="思源宋体 CN"/>
      </w:rPr>
      <w:fldChar w:fldCharType="separate"/>
    </w:r>
    <w:r>
      <w:rPr>
        <w:rFonts w:hint="eastAsia" w:ascii="思源宋体 CN" w:hAnsi="思源宋体 CN" w:eastAsia="思源宋体 CN" w:cs="思源宋体 CN"/>
      </w:rPr>
      <w:t>3</w:t>
    </w:r>
    <w:r>
      <w:rPr>
        <w:rFonts w:hint="eastAsia" w:ascii="思源宋体 CN" w:hAnsi="思源宋体 CN" w:eastAsia="思源宋体 CN" w:cs="思源宋体 CN"/>
      </w:rPr>
      <w:fldChar w:fldCharType="end"/>
    </w:r>
    <w:r>
      <w:rPr>
        <w:rFonts w:hint="eastAsia" w:ascii="思源宋体 CN" w:hAnsi="思源宋体 CN" w:eastAsia="思源宋体 CN" w:cs="思源宋体 CN"/>
        <w:lang w:val="zh-CN"/>
      </w:rPr>
      <w:t xml:space="preserve"> /</w:t>
    </w:r>
    <w:r>
      <w:rPr>
        <w:rFonts w:hint="eastAsia" w:ascii="思源宋体 CN" w:hAnsi="思源宋体 CN" w:eastAsia="思源宋体 CN" w:cs="思源宋体 CN"/>
        <w:lang w:val="en-US" w:eastAsia="zh-CN"/>
      </w:rPr>
      <w:t>37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7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7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8"/>
      <w:pBdr>
        <w:bottom w:val="thickThinSmallGap" w:color="622423" w:sz="24" w:space="1"/>
      </w:pBdr>
      <w:spacing w:line="240" w:lineRule="auto"/>
      <w:ind w:firstLine="1260" w:firstLineChars="700"/>
      <w:jc w:val="left"/>
      <w:rPr>
        <w:rFonts w:ascii="思源宋体 CN" w:hAnsi="思源宋体 CN" w:eastAsia="思源宋体 CN" w:cs="思源宋体 CN"/>
        <w:color w:val="000000"/>
      </w:rPr>
    </w:pPr>
    <w:r>
      <w:rPr>
        <w:rFonts w:hint="eastAsia" w:ascii="思源宋体 CN" w:hAnsi="思源宋体 CN" w:eastAsia="思源宋体 CN" w:cs="思源宋体 CN"/>
        <w:lang w:val="en-US" w:eastAsia="zh-CN"/>
      </w:rPr>
      <w:t>承德市</w:t>
    </w:r>
    <w:r>
      <w:rPr>
        <w:rFonts w:hint="eastAsia" w:ascii="思源宋体 CN" w:hAnsi="思源宋体 CN" w:eastAsia="思源宋体 CN" w:cs="思源宋体 CN"/>
      </w:rPr>
      <w:t>不见面开标大厅操作手册（主持人）</w:t>
    </w:r>
    <w:r>
      <w:rPr>
        <w:rFonts w:ascii="思源宋体 CN" w:hAnsi="思源宋体 CN" w:eastAsia="思源宋体 CN" w:cs="思源宋体 CN"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-47625</wp:posOffset>
          </wp:positionH>
          <wp:positionV relativeFrom="paragraph">
            <wp:posOffset>-104140</wp:posOffset>
          </wp:positionV>
          <wp:extent cx="820420" cy="339090"/>
          <wp:effectExtent l="0" t="0" r="0" b="0"/>
          <wp:wrapNone/>
          <wp:docPr id="76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6" name="图片 1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20420" cy="3390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rFonts w:hint="eastAsia" w:ascii="思源宋体 CN" w:hAnsi="思源宋体 CN" w:eastAsia="思源宋体 CN" w:cs="思源宋体 CN"/>
      </w:rPr>
      <w:t xml:space="preserve">              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8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8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11B7B88"/>
    <w:multiLevelType w:val="singleLevel"/>
    <w:tmpl w:val="811B7B88"/>
    <w:lvl w:ilvl="0" w:tentative="0">
      <w:start w:val="1"/>
      <w:numFmt w:val="decimal"/>
      <w:suff w:val="space"/>
      <w:lvlText w:val="%1、"/>
      <w:lvlJc w:val="left"/>
    </w:lvl>
  </w:abstractNum>
  <w:abstractNum w:abstractNumId="1">
    <w:nsid w:val="8722D77A"/>
    <w:multiLevelType w:val="singleLevel"/>
    <w:tmpl w:val="8722D77A"/>
    <w:lvl w:ilvl="0" w:tentative="0">
      <w:start w:val="1"/>
      <w:numFmt w:val="decimal"/>
      <w:suff w:val="space"/>
      <w:lvlText w:val="%1、"/>
      <w:lvlJc w:val="left"/>
    </w:lvl>
  </w:abstractNum>
  <w:abstractNum w:abstractNumId="2">
    <w:nsid w:val="A17674DD"/>
    <w:multiLevelType w:val="singleLevel"/>
    <w:tmpl w:val="A17674DD"/>
    <w:lvl w:ilvl="0" w:tentative="0">
      <w:start w:val="1"/>
      <w:numFmt w:val="decimal"/>
      <w:suff w:val="nothing"/>
      <w:lvlText w:val="%1、"/>
      <w:lvlJc w:val="left"/>
    </w:lvl>
  </w:abstractNum>
  <w:abstractNum w:abstractNumId="3">
    <w:nsid w:val="B7987D18"/>
    <w:multiLevelType w:val="singleLevel"/>
    <w:tmpl w:val="B7987D18"/>
    <w:lvl w:ilvl="0" w:tentative="0">
      <w:start w:val="1"/>
      <w:numFmt w:val="decimal"/>
      <w:suff w:val="nothing"/>
      <w:lvlText w:val="%1、"/>
      <w:lvlJc w:val="left"/>
    </w:lvl>
  </w:abstractNum>
  <w:abstractNum w:abstractNumId="4">
    <w:nsid w:val="B8CF6A8C"/>
    <w:multiLevelType w:val="singleLevel"/>
    <w:tmpl w:val="B8CF6A8C"/>
    <w:lvl w:ilvl="0" w:tentative="0">
      <w:start w:val="1"/>
      <w:numFmt w:val="decimal"/>
      <w:suff w:val="nothing"/>
      <w:lvlText w:val="%1、"/>
      <w:lvlJc w:val="left"/>
    </w:lvl>
  </w:abstractNum>
  <w:abstractNum w:abstractNumId="5">
    <w:nsid w:val="D75E355F"/>
    <w:multiLevelType w:val="singleLevel"/>
    <w:tmpl w:val="D75E355F"/>
    <w:lvl w:ilvl="0" w:tentative="0">
      <w:start w:val="1"/>
      <w:numFmt w:val="decimal"/>
      <w:suff w:val="space"/>
      <w:lvlText w:val="%1、"/>
      <w:lvlJc w:val="left"/>
    </w:lvl>
  </w:abstractNum>
  <w:abstractNum w:abstractNumId="6">
    <w:nsid w:val="132DFC7A"/>
    <w:multiLevelType w:val="singleLevel"/>
    <w:tmpl w:val="132DFC7A"/>
    <w:lvl w:ilvl="0" w:tentative="0">
      <w:start w:val="1"/>
      <w:numFmt w:val="decimal"/>
      <w:suff w:val="nothing"/>
      <w:lvlText w:val="%1、"/>
      <w:lvlJc w:val="left"/>
    </w:lvl>
  </w:abstractNum>
  <w:abstractNum w:abstractNumId="7">
    <w:nsid w:val="17E6127E"/>
    <w:multiLevelType w:val="singleLevel"/>
    <w:tmpl w:val="17E6127E"/>
    <w:lvl w:ilvl="0" w:tentative="0">
      <w:start w:val="1"/>
      <w:numFmt w:val="decimal"/>
      <w:suff w:val="nothing"/>
      <w:lvlText w:val="%1、"/>
      <w:lvlJc w:val="left"/>
    </w:lvl>
  </w:abstractNum>
  <w:abstractNum w:abstractNumId="8">
    <w:nsid w:val="1A294E96"/>
    <w:multiLevelType w:val="multilevel"/>
    <w:tmpl w:val="1A294E96"/>
    <w:lvl w:ilvl="0" w:tentative="0">
      <w:start w:val="1"/>
      <w:numFmt w:val="chineseCountingThousand"/>
      <w:lvlText w:val="%1、"/>
      <w:lvlJc w:val="left"/>
      <w:pPr>
        <w:ind w:left="0" w:firstLine="0"/>
      </w:pPr>
      <w:rPr>
        <w:rFonts w:hint="eastAsia"/>
        <w:lang w:val="en-US"/>
      </w:rPr>
    </w:lvl>
    <w:lvl w:ilvl="1" w:tentative="0">
      <w:start w:val="1"/>
      <w:numFmt w:val="decimal"/>
      <w:isLgl/>
      <w:lvlText w:val="%1.%2、"/>
      <w:lvlJc w:val="left"/>
      <w:pPr>
        <w:ind w:left="0" w:firstLine="0"/>
      </w:pPr>
      <w:rPr>
        <w:rFonts w:hint="eastAsia"/>
        <w:color w:val="auto"/>
        <w:sz w:val="30"/>
        <w:szCs w:val="30"/>
      </w:rPr>
    </w:lvl>
    <w:lvl w:ilvl="2" w:tentative="0">
      <w:start w:val="1"/>
      <w:numFmt w:val="decimal"/>
      <w:isLgl/>
      <w:lvlText w:val="%1.%2.%3、"/>
      <w:lvlJc w:val="left"/>
      <w:pPr>
        <w:ind w:left="0" w:firstLine="0"/>
      </w:pPr>
      <w:rPr>
        <w:rFonts w:hint="eastAsia" w:ascii="Times New Roman" w:cs="Times New Roman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  <w14:ligatures w14:val="none"/>
        <w14:numForm w14:val="default"/>
        <w14:numSpacing w14:val="default"/>
      </w:rPr>
    </w:lvl>
    <w:lvl w:ilvl="3" w:tentative="0">
      <w:start w:val="1"/>
      <w:numFmt w:val="decimal"/>
      <w:isLgl/>
      <w:lvlText w:val="%1.%2.%3.%4、"/>
      <w:lvlJc w:val="left"/>
      <w:pPr>
        <w:ind w:left="833" w:hanging="864"/>
      </w:pPr>
      <w:rPr>
        <w:rFonts w:hint="eastAsia" w:ascii="宋体" w:hAnsi="宋体" w:eastAsia="宋体" w:cs="宋体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snapToGrid w:val="0"/>
        <w:vanish w:val="0"/>
        <w:color w:val="000000"/>
        <w:spacing w:val="0"/>
        <w:w w:val="0"/>
        <w:kern w:val="0"/>
        <w:position w:val="0"/>
        <w:szCs w:val="0"/>
        <w:u w:val="none"/>
        <w:vertAlign w:val="baseline"/>
      </w:rPr>
    </w:lvl>
    <w:lvl w:ilvl="4" w:tentative="0">
      <w:start w:val="1"/>
      <w:numFmt w:val="decimal"/>
      <w:isLgl/>
      <w:lvlText w:val="%1.%2.%3.%4.%5、"/>
      <w:lvlJc w:val="left"/>
      <w:pPr>
        <w:ind w:left="977" w:hanging="1008"/>
      </w:pPr>
      <w:rPr>
        <w:rFonts w:hint="eastAsia"/>
      </w:rPr>
    </w:lvl>
    <w:lvl w:ilvl="5" w:tentative="0">
      <w:start w:val="1"/>
      <w:numFmt w:val="decimal"/>
      <w:isLgl/>
      <w:lvlText w:val="%1.%2.%3.%4.%5.%6、"/>
      <w:lvlJc w:val="left"/>
      <w:pPr>
        <w:ind w:left="1121" w:hanging="1152"/>
      </w:pPr>
      <w:rPr>
        <w:rFonts w:hint="eastAsia"/>
      </w:rPr>
    </w:lvl>
    <w:lvl w:ilvl="6" w:tentative="0">
      <w:start w:val="1"/>
      <w:numFmt w:val="decimal"/>
      <w:lvlText w:val="%1.%2.%3.%4.%5.%6.%7"/>
      <w:lvlJc w:val="left"/>
      <w:pPr>
        <w:ind w:left="1265" w:hanging="1296"/>
      </w:pPr>
      <w:rPr>
        <w:rFonts w:hint="eastAsia"/>
      </w:rPr>
    </w:lvl>
    <w:lvl w:ilvl="7" w:tentative="0">
      <w:start w:val="1"/>
      <w:numFmt w:val="decimal"/>
      <w:lvlText w:val="%1.%2.%3.%4.%5.%6.%7.%8"/>
      <w:lvlJc w:val="left"/>
      <w:pPr>
        <w:ind w:left="1409" w:hanging="1440"/>
      </w:pPr>
      <w:rPr>
        <w:rFonts w:hint="eastAsia"/>
      </w:rPr>
    </w:lvl>
    <w:lvl w:ilvl="8" w:tentative="0">
      <w:start w:val="1"/>
      <w:numFmt w:val="decimal"/>
      <w:lvlText w:val="%1.%2.%3.%4.%5.%6.%7.%8.%9"/>
      <w:lvlJc w:val="left"/>
      <w:pPr>
        <w:ind w:left="1553" w:hanging="1584"/>
      </w:pPr>
      <w:rPr>
        <w:rFonts w:hint="eastAsia"/>
      </w:rPr>
    </w:lvl>
  </w:abstractNum>
  <w:abstractNum w:abstractNumId="9">
    <w:nsid w:val="2DE5D394"/>
    <w:multiLevelType w:val="singleLevel"/>
    <w:tmpl w:val="2DE5D394"/>
    <w:lvl w:ilvl="0" w:tentative="0">
      <w:start w:val="1"/>
      <w:numFmt w:val="decimal"/>
      <w:suff w:val="nothing"/>
      <w:lvlText w:val="%1、"/>
      <w:lvlJc w:val="left"/>
    </w:lvl>
  </w:abstractNum>
  <w:abstractNum w:abstractNumId="10">
    <w:nsid w:val="42E053CB"/>
    <w:multiLevelType w:val="singleLevel"/>
    <w:tmpl w:val="42E053CB"/>
    <w:lvl w:ilvl="0" w:tentative="0">
      <w:start w:val="1"/>
      <w:numFmt w:val="decimal"/>
      <w:suff w:val="space"/>
      <w:lvlText w:val="%1、"/>
      <w:lvlJc w:val="left"/>
    </w:lvl>
  </w:abstractNum>
  <w:abstractNum w:abstractNumId="11">
    <w:nsid w:val="4E6D15E7"/>
    <w:multiLevelType w:val="singleLevel"/>
    <w:tmpl w:val="4E6D15E7"/>
    <w:lvl w:ilvl="0" w:tentative="0">
      <w:start w:val="1"/>
      <w:numFmt w:val="decimal"/>
      <w:suff w:val="space"/>
      <w:lvlText w:val="%1、"/>
      <w:lvlJc w:val="left"/>
    </w:lvl>
  </w:abstractNum>
  <w:abstractNum w:abstractNumId="12">
    <w:nsid w:val="5C4C21CA"/>
    <w:multiLevelType w:val="multilevel"/>
    <w:tmpl w:val="5C4C21CA"/>
    <w:lvl w:ilvl="0" w:tentative="0">
      <w:start w:val="1"/>
      <w:numFmt w:val="chineseCountingThousand"/>
      <w:pStyle w:val="3"/>
      <w:lvlText w:val="%1、"/>
      <w:lvlJc w:val="left"/>
      <w:pPr>
        <w:ind w:left="0" w:firstLine="0"/>
      </w:pPr>
      <w:rPr>
        <w:rFonts w:hint="eastAsia"/>
        <w:b/>
        <w:lang w:val="en-US"/>
      </w:rPr>
    </w:lvl>
    <w:lvl w:ilvl="1" w:tentative="0">
      <w:start w:val="1"/>
      <w:numFmt w:val="decimal"/>
      <w:pStyle w:val="4"/>
      <w:isLgl/>
      <w:lvlText w:val="%1.%2、"/>
      <w:lvlJc w:val="left"/>
      <w:pPr>
        <w:ind w:left="142" w:firstLine="0"/>
      </w:pPr>
      <w:rPr>
        <w:rFonts w:hint="eastAsia"/>
        <w:b/>
        <w:color w:val="auto"/>
        <w:sz w:val="30"/>
        <w:szCs w:val="30"/>
      </w:rPr>
    </w:lvl>
    <w:lvl w:ilvl="2" w:tentative="0">
      <w:start w:val="1"/>
      <w:numFmt w:val="decimal"/>
      <w:pStyle w:val="5"/>
      <w:isLgl/>
      <w:lvlText w:val="%1.%2.%3、"/>
      <w:lvlJc w:val="left"/>
      <w:pPr>
        <w:ind w:left="142" w:firstLine="0"/>
      </w:pPr>
      <w:rPr>
        <w:rFonts w:hint="eastAsia"/>
        <w:b/>
        <w:i w:val="0"/>
      </w:rPr>
    </w:lvl>
    <w:lvl w:ilvl="3" w:tentative="0">
      <w:start w:val="1"/>
      <w:numFmt w:val="decimal"/>
      <w:isLgl/>
      <w:lvlText w:val="%1.%2.%3.%4、"/>
      <w:lvlJc w:val="left"/>
      <w:pPr>
        <w:ind w:left="0" w:firstLine="0"/>
      </w:pPr>
      <w:rPr>
        <w:rFonts w:hint="eastAsia"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napToGrid w:val="0"/>
        <w:color w:val="000000"/>
        <w:spacing w:val="0"/>
        <w:w w:val="0"/>
        <w:kern w:val="0"/>
        <w:position w:val="0"/>
        <w:szCs w:val="16"/>
        <w:u w:val="none"/>
      </w:rPr>
    </w:lvl>
    <w:lvl w:ilvl="4" w:tentative="0">
      <w:start w:val="1"/>
      <w:numFmt w:val="decimal"/>
      <w:isLgl/>
      <w:lvlText w:val="%1.%2.%3.%4.%5、"/>
      <w:lvlJc w:val="left"/>
      <w:pPr>
        <w:ind w:left="977" w:hanging="1008"/>
      </w:pPr>
      <w:rPr>
        <w:rFonts w:hint="eastAsia"/>
      </w:rPr>
    </w:lvl>
    <w:lvl w:ilvl="5" w:tentative="0">
      <w:start w:val="1"/>
      <w:numFmt w:val="decimal"/>
      <w:isLgl/>
      <w:lvlText w:val="%1.%2.%3.%4.%5.%6、"/>
      <w:lvlJc w:val="left"/>
      <w:pPr>
        <w:ind w:left="1121" w:hanging="1152"/>
      </w:pPr>
      <w:rPr>
        <w:rFonts w:hint="eastAsia"/>
      </w:rPr>
    </w:lvl>
    <w:lvl w:ilvl="6" w:tentative="0">
      <w:start w:val="1"/>
      <w:numFmt w:val="decimal"/>
      <w:lvlText w:val="%1.%2.%3.%4.%5.%6.%7"/>
      <w:lvlJc w:val="left"/>
      <w:pPr>
        <w:ind w:left="1265" w:hanging="1296"/>
      </w:pPr>
      <w:rPr>
        <w:rFonts w:hint="eastAsia"/>
      </w:rPr>
    </w:lvl>
    <w:lvl w:ilvl="7" w:tentative="0">
      <w:start w:val="1"/>
      <w:numFmt w:val="decimal"/>
      <w:lvlText w:val="%1.%2.%3.%4.%5.%6.%7.%8"/>
      <w:lvlJc w:val="left"/>
      <w:pPr>
        <w:ind w:left="1409" w:hanging="1440"/>
      </w:pPr>
      <w:rPr>
        <w:rFonts w:hint="eastAsia"/>
      </w:rPr>
    </w:lvl>
    <w:lvl w:ilvl="8" w:tentative="0">
      <w:start w:val="1"/>
      <w:numFmt w:val="decimal"/>
      <w:lvlText w:val="%1.%2.%3.%4.%5.%6.%7.%8.%9"/>
      <w:lvlJc w:val="left"/>
      <w:pPr>
        <w:ind w:left="1553" w:hanging="1584"/>
      </w:pPr>
      <w:rPr>
        <w:rFonts w:hint="eastAsia"/>
      </w:rPr>
    </w:lvl>
  </w:abstractNum>
  <w:num w:numId="1">
    <w:abstractNumId w:val="12"/>
  </w:num>
  <w:num w:numId="2">
    <w:abstractNumId w:val="8"/>
  </w:num>
  <w:num w:numId="3">
    <w:abstractNumId w:val="2"/>
  </w:num>
  <w:num w:numId="4">
    <w:abstractNumId w:val="3"/>
  </w:num>
  <w:num w:numId="5">
    <w:abstractNumId w:val="4"/>
  </w:num>
  <w:num w:numId="6">
    <w:abstractNumId w:val="9"/>
  </w:num>
  <w:num w:numId="7">
    <w:abstractNumId w:val="5"/>
  </w:num>
  <w:num w:numId="8">
    <w:abstractNumId w:val="11"/>
  </w:num>
  <w:num w:numId="9">
    <w:abstractNumId w:val="1"/>
  </w:num>
  <w:num w:numId="10">
    <w:abstractNumId w:val="0"/>
  </w:num>
  <w:num w:numId="11">
    <w:abstractNumId w:val="10"/>
  </w:num>
  <w:num w:numId="12">
    <w:abstractNumId w:val="6"/>
  </w:num>
  <w:num w:numId="13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NotTrackMoves/>
  <w:documentProtection w:enforcement="0"/>
  <w:defaultTabStop w:val="50"/>
  <w:drawingGridHorizontalSpacing w:val="0"/>
  <w:drawingGridVerticalSpacing w:val="156"/>
  <w:displayHorizontalDrawingGridEvery w:val="0"/>
  <w:displayVerticalDrawingGridEvery w:val="2"/>
  <w:characterSpacingControl w:val="compressPunctuation"/>
  <w:hdrShapeDefaults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405F0"/>
    <w:rsid w:val="000008CC"/>
    <w:rsid w:val="000055A5"/>
    <w:rsid w:val="00010CBD"/>
    <w:rsid w:val="00011CFA"/>
    <w:rsid w:val="0001527E"/>
    <w:rsid w:val="000172A3"/>
    <w:rsid w:val="0001797B"/>
    <w:rsid w:val="00022804"/>
    <w:rsid w:val="00023A04"/>
    <w:rsid w:val="00030DCB"/>
    <w:rsid w:val="00033479"/>
    <w:rsid w:val="0003636D"/>
    <w:rsid w:val="00041C41"/>
    <w:rsid w:val="00042CDB"/>
    <w:rsid w:val="00043FEA"/>
    <w:rsid w:val="000474A1"/>
    <w:rsid w:val="000504A3"/>
    <w:rsid w:val="000545A2"/>
    <w:rsid w:val="00055DA0"/>
    <w:rsid w:val="000569F3"/>
    <w:rsid w:val="00061638"/>
    <w:rsid w:val="000627A0"/>
    <w:rsid w:val="0006736D"/>
    <w:rsid w:val="000713EB"/>
    <w:rsid w:val="000735CC"/>
    <w:rsid w:val="00077333"/>
    <w:rsid w:val="0007749F"/>
    <w:rsid w:val="000908A7"/>
    <w:rsid w:val="000A1F59"/>
    <w:rsid w:val="000A5383"/>
    <w:rsid w:val="000A7919"/>
    <w:rsid w:val="000B274F"/>
    <w:rsid w:val="000C0A2E"/>
    <w:rsid w:val="000D0F98"/>
    <w:rsid w:val="000D36CA"/>
    <w:rsid w:val="000D6697"/>
    <w:rsid w:val="000D7A34"/>
    <w:rsid w:val="000E400A"/>
    <w:rsid w:val="000E4C61"/>
    <w:rsid w:val="000E7391"/>
    <w:rsid w:val="000F24C7"/>
    <w:rsid w:val="000F76CA"/>
    <w:rsid w:val="00124493"/>
    <w:rsid w:val="0012646F"/>
    <w:rsid w:val="00135F1D"/>
    <w:rsid w:val="0013617A"/>
    <w:rsid w:val="001420A2"/>
    <w:rsid w:val="001468E5"/>
    <w:rsid w:val="001539FE"/>
    <w:rsid w:val="00157859"/>
    <w:rsid w:val="00160236"/>
    <w:rsid w:val="001616B9"/>
    <w:rsid w:val="00165029"/>
    <w:rsid w:val="00175A8A"/>
    <w:rsid w:val="0017626E"/>
    <w:rsid w:val="00193F23"/>
    <w:rsid w:val="00194901"/>
    <w:rsid w:val="00197434"/>
    <w:rsid w:val="001A1327"/>
    <w:rsid w:val="001A215F"/>
    <w:rsid w:val="001A4CF9"/>
    <w:rsid w:val="001A6C72"/>
    <w:rsid w:val="001B40D2"/>
    <w:rsid w:val="001B441C"/>
    <w:rsid w:val="001B76F6"/>
    <w:rsid w:val="001C1242"/>
    <w:rsid w:val="001C7347"/>
    <w:rsid w:val="001D0124"/>
    <w:rsid w:val="001D4171"/>
    <w:rsid w:val="001D4B4D"/>
    <w:rsid w:val="001E05C8"/>
    <w:rsid w:val="001E6C2E"/>
    <w:rsid w:val="001F2A43"/>
    <w:rsid w:val="001F2C3A"/>
    <w:rsid w:val="001F3248"/>
    <w:rsid w:val="001F62C3"/>
    <w:rsid w:val="001F7E76"/>
    <w:rsid w:val="00200BF0"/>
    <w:rsid w:val="00201AF7"/>
    <w:rsid w:val="00202B2F"/>
    <w:rsid w:val="00204403"/>
    <w:rsid w:val="00206656"/>
    <w:rsid w:val="00213456"/>
    <w:rsid w:val="00213CD3"/>
    <w:rsid w:val="00214192"/>
    <w:rsid w:val="00215DC3"/>
    <w:rsid w:val="00216F91"/>
    <w:rsid w:val="0021736E"/>
    <w:rsid w:val="0022374D"/>
    <w:rsid w:val="00231A0A"/>
    <w:rsid w:val="00231A68"/>
    <w:rsid w:val="00232090"/>
    <w:rsid w:val="0023439D"/>
    <w:rsid w:val="002428D0"/>
    <w:rsid w:val="00245DC3"/>
    <w:rsid w:val="002471CD"/>
    <w:rsid w:val="0025649E"/>
    <w:rsid w:val="00257484"/>
    <w:rsid w:val="00260726"/>
    <w:rsid w:val="002636DD"/>
    <w:rsid w:val="0026548B"/>
    <w:rsid w:val="00273639"/>
    <w:rsid w:val="00273730"/>
    <w:rsid w:val="00277E7E"/>
    <w:rsid w:val="0028440B"/>
    <w:rsid w:val="00286EB4"/>
    <w:rsid w:val="0028784B"/>
    <w:rsid w:val="0029158F"/>
    <w:rsid w:val="00291DED"/>
    <w:rsid w:val="00294574"/>
    <w:rsid w:val="002962AF"/>
    <w:rsid w:val="00297A6C"/>
    <w:rsid w:val="002A5FCC"/>
    <w:rsid w:val="002B23BD"/>
    <w:rsid w:val="002B384B"/>
    <w:rsid w:val="002B5F5B"/>
    <w:rsid w:val="002B6187"/>
    <w:rsid w:val="002C50C1"/>
    <w:rsid w:val="002D3C01"/>
    <w:rsid w:val="002D6289"/>
    <w:rsid w:val="002E1E90"/>
    <w:rsid w:val="002E4185"/>
    <w:rsid w:val="002E4BD7"/>
    <w:rsid w:val="002E67E0"/>
    <w:rsid w:val="002F596B"/>
    <w:rsid w:val="00313103"/>
    <w:rsid w:val="003209F7"/>
    <w:rsid w:val="00324819"/>
    <w:rsid w:val="0032495E"/>
    <w:rsid w:val="00327208"/>
    <w:rsid w:val="00327463"/>
    <w:rsid w:val="00333363"/>
    <w:rsid w:val="00335A51"/>
    <w:rsid w:val="00336E92"/>
    <w:rsid w:val="00346FE9"/>
    <w:rsid w:val="0035036C"/>
    <w:rsid w:val="00350F48"/>
    <w:rsid w:val="00355665"/>
    <w:rsid w:val="00362EBF"/>
    <w:rsid w:val="00372E2E"/>
    <w:rsid w:val="003747F6"/>
    <w:rsid w:val="00376438"/>
    <w:rsid w:val="00376726"/>
    <w:rsid w:val="00380A88"/>
    <w:rsid w:val="00381D49"/>
    <w:rsid w:val="0038589D"/>
    <w:rsid w:val="0039164A"/>
    <w:rsid w:val="003919F8"/>
    <w:rsid w:val="00394ADB"/>
    <w:rsid w:val="00394EBC"/>
    <w:rsid w:val="003A26BC"/>
    <w:rsid w:val="003A4A7C"/>
    <w:rsid w:val="003B0F43"/>
    <w:rsid w:val="003B3F9C"/>
    <w:rsid w:val="003C01C9"/>
    <w:rsid w:val="003C1C3A"/>
    <w:rsid w:val="003C315C"/>
    <w:rsid w:val="003C4B1D"/>
    <w:rsid w:val="003D14D2"/>
    <w:rsid w:val="003D5E16"/>
    <w:rsid w:val="003D6F0A"/>
    <w:rsid w:val="003F00D4"/>
    <w:rsid w:val="003F2002"/>
    <w:rsid w:val="003F5F8D"/>
    <w:rsid w:val="003F6A01"/>
    <w:rsid w:val="00407F4B"/>
    <w:rsid w:val="00411595"/>
    <w:rsid w:val="00414B3E"/>
    <w:rsid w:val="0041552E"/>
    <w:rsid w:val="00420646"/>
    <w:rsid w:val="00426FD1"/>
    <w:rsid w:val="00433947"/>
    <w:rsid w:val="00442EC0"/>
    <w:rsid w:val="00444D64"/>
    <w:rsid w:val="00465761"/>
    <w:rsid w:val="00466811"/>
    <w:rsid w:val="00471044"/>
    <w:rsid w:val="00474AD7"/>
    <w:rsid w:val="00474AFD"/>
    <w:rsid w:val="00477BB3"/>
    <w:rsid w:val="00481EE7"/>
    <w:rsid w:val="004827AD"/>
    <w:rsid w:val="00486E78"/>
    <w:rsid w:val="00493A08"/>
    <w:rsid w:val="00497808"/>
    <w:rsid w:val="004A2206"/>
    <w:rsid w:val="004A3198"/>
    <w:rsid w:val="004A6734"/>
    <w:rsid w:val="004A70EB"/>
    <w:rsid w:val="004A76FA"/>
    <w:rsid w:val="004B3EF9"/>
    <w:rsid w:val="004B4150"/>
    <w:rsid w:val="004B44D8"/>
    <w:rsid w:val="004B51DB"/>
    <w:rsid w:val="004B7EE6"/>
    <w:rsid w:val="004C3864"/>
    <w:rsid w:val="004D27B7"/>
    <w:rsid w:val="004D3DEA"/>
    <w:rsid w:val="004D52F1"/>
    <w:rsid w:val="004D63E7"/>
    <w:rsid w:val="004E1D48"/>
    <w:rsid w:val="004E7F45"/>
    <w:rsid w:val="00502BB5"/>
    <w:rsid w:val="00506783"/>
    <w:rsid w:val="00512230"/>
    <w:rsid w:val="00532465"/>
    <w:rsid w:val="005332DD"/>
    <w:rsid w:val="0053451E"/>
    <w:rsid w:val="00535546"/>
    <w:rsid w:val="00536ABB"/>
    <w:rsid w:val="00536E2F"/>
    <w:rsid w:val="0054059A"/>
    <w:rsid w:val="00541A24"/>
    <w:rsid w:val="005462BC"/>
    <w:rsid w:val="00546561"/>
    <w:rsid w:val="00550670"/>
    <w:rsid w:val="00551887"/>
    <w:rsid w:val="00555BC0"/>
    <w:rsid w:val="00557842"/>
    <w:rsid w:val="005605D9"/>
    <w:rsid w:val="00564945"/>
    <w:rsid w:val="00570D64"/>
    <w:rsid w:val="005759A9"/>
    <w:rsid w:val="00590A6E"/>
    <w:rsid w:val="00593769"/>
    <w:rsid w:val="0059562E"/>
    <w:rsid w:val="005958DC"/>
    <w:rsid w:val="00596458"/>
    <w:rsid w:val="005A3658"/>
    <w:rsid w:val="005A459E"/>
    <w:rsid w:val="005B220F"/>
    <w:rsid w:val="005B5DF9"/>
    <w:rsid w:val="005C5DD9"/>
    <w:rsid w:val="005C77D7"/>
    <w:rsid w:val="005D517D"/>
    <w:rsid w:val="005D7816"/>
    <w:rsid w:val="005E1B1F"/>
    <w:rsid w:val="005E2B5F"/>
    <w:rsid w:val="005F3C66"/>
    <w:rsid w:val="005F6FA4"/>
    <w:rsid w:val="006061C2"/>
    <w:rsid w:val="00606E07"/>
    <w:rsid w:val="00611263"/>
    <w:rsid w:val="006130FB"/>
    <w:rsid w:val="00613BA6"/>
    <w:rsid w:val="006148AC"/>
    <w:rsid w:val="0061508D"/>
    <w:rsid w:val="00617EAE"/>
    <w:rsid w:val="006202B4"/>
    <w:rsid w:val="006303F6"/>
    <w:rsid w:val="00634028"/>
    <w:rsid w:val="0064061B"/>
    <w:rsid w:val="00643778"/>
    <w:rsid w:val="0064399F"/>
    <w:rsid w:val="00646951"/>
    <w:rsid w:val="00647BA5"/>
    <w:rsid w:val="006606CF"/>
    <w:rsid w:val="006675A9"/>
    <w:rsid w:val="006721D2"/>
    <w:rsid w:val="006842E4"/>
    <w:rsid w:val="00687126"/>
    <w:rsid w:val="00687740"/>
    <w:rsid w:val="006878A0"/>
    <w:rsid w:val="006A1A32"/>
    <w:rsid w:val="006A5B8D"/>
    <w:rsid w:val="006B060D"/>
    <w:rsid w:val="006B2A5F"/>
    <w:rsid w:val="006B2FD3"/>
    <w:rsid w:val="006C0E3E"/>
    <w:rsid w:val="006C3A9A"/>
    <w:rsid w:val="006C60D7"/>
    <w:rsid w:val="006C625C"/>
    <w:rsid w:val="006D1B1D"/>
    <w:rsid w:val="006D2435"/>
    <w:rsid w:val="006D366F"/>
    <w:rsid w:val="006D5292"/>
    <w:rsid w:val="006D7122"/>
    <w:rsid w:val="006D7184"/>
    <w:rsid w:val="006E2D3A"/>
    <w:rsid w:val="006E7044"/>
    <w:rsid w:val="006E70D1"/>
    <w:rsid w:val="006F0653"/>
    <w:rsid w:val="006F1970"/>
    <w:rsid w:val="006F4D98"/>
    <w:rsid w:val="006F50B1"/>
    <w:rsid w:val="00700C92"/>
    <w:rsid w:val="00702063"/>
    <w:rsid w:val="007039F7"/>
    <w:rsid w:val="00704373"/>
    <w:rsid w:val="00707A01"/>
    <w:rsid w:val="00714E89"/>
    <w:rsid w:val="00716B17"/>
    <w:rsid w:val="00723972"/>
    <w:rsid w:val="0072693D"/>
    <w:rsid w:val="00726F8D"/>
    <w:rsid w:val="00726FA2"/>
    <w:rsid w:val="00727778"/>
    <w:rsid w:val="00735615"/>
    <w:rsid w:val="00735F02"/>
    <w:rsid w:val="00737771"/>
    <w:rsid w:val="007405F0"/>
    <w:rsid w:val="007424D2"/>
    <w:rsid w:val="007449C3"/>
    <w:rsid w:val="00750810"/>
    <w:rsid w:val="00766928"/>
    <w:rsid w:val="007711B7"/>
    <w:rsid w:val="00773EEC"/>
    <w:rsid w:val="0077419E"/>
    <w:rsid w:val="00785BA0"/>
    <w:rsid w:val="00785F2E"/>
    <w:rsid w:val="00790946"/>
    <w:rsid w:val="007917C0"/>
    <w:rsid w:val="00792CC5"/>
    <w:rsid w:val="00797434"/>
    <w:rsid w:val="007A1033"/>
    <w:rsid w:val="007A13A7"/>
    <w:rsid w:val="007A1CDB"/>
    <w:rsid w:val="007A4D8C"/>
    <w:rsid w:val="007B5725"/>
    <w:rsid w:val="007B7116"/>
    <w:rsid w:val="007C0BD7"/>
    <w:rsid w:val="007C0CB7"/>
    <w:rsid w:val="007C15E1"/>
    <w:rsid w:val="007C2326"/>
    <w:rsid w:val="007D1B30"/>
    <w:rsid w:val="007D6869"/>
    <w:rsid w:val="007D6E23"/>
    <w:rsid w:val="007E1D8E"/>
    <w:rsid w:val="007E64B4"/>
    <w:rsid w:val="007F034A"/>
    <w:rsid w:val="007F065F"/>
    <w:rsid w:val="007F179A"/>
    <w:rsid w:val="007F21A0"/>
    <w:rsid w:val="007F6175"/>
    <w:rsid w:val="00831FAD"/>
    <w:rsid w:val="008416CD"/>
    <w:rsid w:val="00843242"/>
    <w:rsid w:val="00843F9C"/>
    <w:rsid w:val="00850DC4"/>
    <w:rsid w:val="00864827"/>
    <w:rsid w:val="0086632D"/>
    <w:rsid w:val="00867B1C"/>
    <w:rsid w:val="00871CEB"/>
    <w:rsid w:val="0087280D"/>
    <w:rsid w:val="00873954"/>
    <w:rsid w:val="00874356"/>
    <w:rsid w:val="00882F5A"/>
    <w:rsid w:val="00885585"/>
    <w:rsid w:val="0089082E"/>
    <w:rsid w:val="00891B92"/>
    <w:rsid w:val="008A5B5D"/>
    <w:rsid w:val="008B53BF"/>
    <w:rsid w:val="008C68E6"/>
    <w:rsid w:val="008C7D31"/>
    <w:rsid w:val="008D75A2"/>
    <w:rsid w:val="008E332E"/>
    <w:rsid w:val="008F2752"/>
    <w:rsid w:val="009002F7"/>
    <w:rsid w:val="00910395"/>
    <w:rsid w:val="00913FD2"/>
    <w:rsid w:val="009153E0"/>
    <w:rsid w:val="0091791F"/>
    <w:rsid w:val="00917B3D"/>
    <w:rsid w:val="009272ED"/>
    <w:rsid w:val="009314F9"/>
    <w:rsid w:val="009370F9"/>
    <w:rsid w:val="009439FB"/>
    <w:rsid w:val="009442B0"/>
    <w:rsid w:val="0094771D"/>
    <w:rsid w:val="00947CE4"/>
    <w:rsid w:val="009517AD"/>
    <w:rsid w:val="009521BD"/>
    <w:rsid w:val="00952B2D"/>
    <w:rsid w:val="00956830"/>
    <w:rsid w:val="009623D0"/>
    <w:rsid w:val="0096627E"/>
    <w:rsid w:val="00971256"/>
    <w:rsid w:val="009854C9"/>
    <w:rsid w:val="00987526"/>
    <w:rsid w:val="009910BC"/>
    <w:rsid w:val="00991699"/>
    <w:rsid w:val="0099380A"/>
    <w:rsid w:val="00993BE0"/>
    <w:rsid w:val="00995D52"/>
    <w:rsid w:val="0099739B"/>
    <w:rsid w:val="009A177E"/>
    <w:rsid w:val="009A1C91"/>
    <w:rsid w:val="009A56FB"/>
    <w:rsid w:val="009A72C0"/>
    <w:rsid w:val="009B0706"/>
    <w:rsid w:val="009B2A84"/>
    <w:rsid w:val="009B4A2A"/>
    <w:rsid w:val="009C2C01"/>
    <w:rsid w:val="009D5A0B"/>
    <w:rsid w:val="009E2603"/>
    <w:rsid w:val="009E4C87"/>
    <w:rsid w:val="009F36B3"/>
    <w:rsid w:val="009F3A88"/>
    <w:rsid w:val="009F64D2"/>
    <w:rsid w:val="00A07F75"/>
    <w:rsid w:val="00A21D09"/>
    <w:rsid w:val="00A367AF"/>
    <w:rsid w:val="00A43E01"/>
    <w:rsid w:val="00A50EBB"/>
    <w:rsid w:val="00A54DA8"/>
    <w:rsid w:val="00A54F95"/>
    <w:rsid w:val="00A60D1D"/>
    <w:rsid w:val="00A646B4"/>
    <w:rsid w:val="00A669D9"/>
    <w:rsid w:val="00A77C40"/>
    <w:rsid w:val="00A803D5"/>
    <w:rsid w:val="00A82345"/>
    <w:rsid w:val="00A82F34"/>
    <w:rsid w:val="00A86C90"/>
    <w:rsid w:val="00A87276"/>
    <w:rsid w:val="00A9156A"/>
    <w:rsid w:val="00A93F20"/>
    <w:rsid w:val="00A979BF"/>
    <w:rsid w:val="00AA16E6"/>
    <w:rsid w:val="00AB465C"/>
    <w:rsid w:val="00AC5C3A"/>
    <w:rsid w:val="00AD1B60"/>
    <w:rsid w:val="00AD54D8"/>
    <w:rsid w:val="00AD58A4"/>
    <w:rsid w:val="00AE6101"/>
    <w:rsid w:val="00AF28B2"/>
    <w:rsid w:val="00AF299C"/>
    <w:rsid w:val="00AF2EA6"/>
    <w:rsid w:val="00AF3BA2"/>
    <w:rsid w:val="00AF44A7"/>
    <w:rsid w:val="00AF73D7"/>
    <w:rsid w:val="00B047F2"/>
    <w:rsid w:val="00B10503"/>
    <w:rsid w:val="00B1061D"/>
    <w:rsid w:val="00B12CA7"/>
    <w:rsid w:val="00B162D8"/>
    <w:rsid w:val="00B214EB"/>
    <w:rsid w:val="00B52217"/>
    <w:rsid w:val="00B52272"/>
    <w:rsid w:val="00B55F64"/>
    <w:rsid w:val="00B56CC6"/>
    <w:rsid w:val="00B5736A"/>
    <w:rsid w:val="00B619A5"/>
    <w:rsid w:val="00B655FA"/>
    <w:rsid w:val="00B72255"/>
    <w:rsid w:val="00B734BE"/>
    <w:rsid w:val="00B77ED6"/>
    <w:rsid w:val="00B819F6"/>
    <w:rsid w:val="00B837E4"/>
    <w:rsid w:val="00BA2704"/>
    <w:rsid w:val="00BA4CAE"/>
    <w:rsid w:val="00BA6916"/>
    <w:rsid w:val="00BB46AE"/>
    <w:rsid w:val="00BB74A7"/>
    <w:rsid w:val="00BB76B9"/>
    <w:rsid w:val="00BD18CF"/>
    <w:rsid w:val="00BD2093"/>
    <w:rsid w:val="00BD3A3F"/>
    <w:rsid w:val="00BD4DAB"/>
    <w:rsid w:val="00BD50A3"/>
    <w:rsid w:val="00BE0D64"/>
    <w:rsid w:val="00BE7A9F"/>
    <w:rsid w:val="00BF2C9C"/>
    <w:rsid w:val="00BF3C5D"/>
    <w:rsid w:val="00BF6486"/>
    <w:rsid w:val="00C06711"/>
    <w:rsid w:val="00C07F16"/>
    <w:rsid w:val="00C12624"/>
    <w:rsid w:val="00C14BB8"/>
    <w:rsid w:val="00C206ED"/>
    <w:rsid w:val="00C27C7D"/>
    <w:rsid w:val="00C3085F"/>
    <w:rsid w:val="00C30F44"/>
    <w:rsid w:val="00C3295D"/>
    <w:rsid w:val="00C7442B"/>
    <w:rsid w:val="00C77837"/>
    <w:rsid w:val="00C816E0"/>
    <w:rsid w:val="00C863C9"/>
    <w:rsid w:val="00CA7248"/>
    <w:rsid w:val="00CA73A0"/>
    <w:rsid w:val="00CC6939"/>
    <w:rsid w:val="00CC6A11"/>
    <w:rsid w:val="00CD1040"/>
    <w:rsid w:val="00CD225E"/>
    <w:rsid w:val="00CD5B62"/>
    <w:rsid w:val="00CD7EB6"/>
    <w:rsid w:val="00CE319B"/>
    <w:rsid w:val="00CE652D"/>
    <w:rsid w:val="00CF08F2"/>
    <w:rsid w:val="00CF4413"/>
    <w:rsid w:val="00CF45FA"/>
    <w:rsid w:val="00CF4D6D"/>
    <w:rsid w:val="00D00F6A"/>
    <w:rsid w:val="00D01EA7"/>
    <w:rsid w:val="00D1687A"/>
    <w:rsid w:val="00D2084E"/>
    <w:rsid w:val="00D23625"/>
    <w:rsid w:val="00D32856"/>
    <w:rsid w:val="00D426C5"/>
    <w:rsid w:val="00D46E97"/>
    <w:rsid w:val="00D612D6"/>
    <w:rsid w:val="00D72420"/>
    <w:rsid w:val="00D733D7"/>
    <w:rsid w:val="00D73BEE"/>
    <w:rsid w:val="00D819C6"/>
    <w:rsid w:val="00D81C13"/>
    <w:rsid w:val="00D85EA7"/>
    <w:rsid w:val="00D86A0F"/>
    <w:rsid w:val="00D87529"/>
    <w:rsid w:val="00D91D0B"/>
    <w:rsid w:val="00D95070"/>
    <w:rsid w:val="00D97F2F"/>
    <w:rsid w:val="00DA0076"/>
    <w:rsid w:val="00DA6F1D"/>
    <w:rsid w:val="00DB2C85"/>
    <w:rsid w:val="00DC0695"/>
    <w:rsid w:val="00DC1184"/>
    <w:rsid w:val="00DC406A"/>
    <w:rsid w:val="00DC4AF2"/>
    <w:rsid w:val="00DC5056"/>
    <w:rsid w:val="00DD6552"/>
    <w:rsid w:val="00DE1072"/>
    <w:rsid w:val="00E2355B"/>
    <w:rsid w:val="00E24942"/>
    <w:rsid w:val="00E25F66"/>
    <w:rsid w:val="00E41BEE"/>
    <w:rsid w:val="00E5216C"/>
    <w:rsid w:val="00E5493D"/>
    <w:rsid w:val="00E56780"/>
    <w:rsid w:val="00E57861"/>
    <w:rsid w:val="00E643FD"/>
    <w:rsid w:val="00E713EC"/>
    <w:rsid w:val="00E74189"/>
    <w:rsid w:val="00E7544C"/>
    <w:rsid w:val="00E770DB"/>
    <w:rsid w:val="00E82E66"/>
    <w:rsid w:val="00E84235"/>
    <w:rsid w:val="00E85802"/>
    <w:rsid w:val="00E97173"/>
    <w:rsid w:val="00E976F6"/>
    <w:rsid w:val="00EA52A1"/>
    <w:rsid w:val="00EA7CFE"/>
    <w:rsid w:val="00EB0E5E"/>
    <w:rsid w:val="00EB4BD9"/>
    <w:rsid w:val="00EC244F"/>
    <w:rsid w:val="00ED10B8"/>
    <w:rsid w:val="00ED28D2"/>
    <w:rsid w:val="00ED3C93"/>
    <w:rsid w:val="00ED5A4C"/>
    <w:rsid w:val="00EE2BAB"/>
    <w:rsid w:val="00EE2E11"/>
    <w:rsid w:val="00EE3F08"/>
    <w:rsid w:val="00EE4AE4"/>
    <w:rsid w:val="00EE4BA4"/>
    <w:rsid w:val="00EF3C28"/>
    <w:rsid w:val="00F02EF9"/>
    <w:rsid w:val="00F1042D"/>
    <w:rsid w:val="00F13F9A"/>
    <w:rsid w:val="00F21D3A"/>
    <w:rsid w:val="00F235BA"/>
    <w:rsid w:val="00F40A6A"/>
    <w:rsid w:val="00F465CF"/>
    <w:rsid w:val="00F51A98"/>
    <w:rsid w:val="00F54AA3"/>
    <w:rsid w:val="00F56399"/>
    <w:rsid w:val="00F656DC"/>
    <w:rsid w:val="00F705FE"/>
    <w:rsid w:val="00F7095F"/>
    <w:rsid w:val="00F710B9"/>
    <w:rsid w:val="00F71ABB"/>
    <w:rsid w:val="00F838D8"/>
    <w:rsid w:val="00F85D2A"/>
    <w:rsid w:val="00F94BA5"/>
    <w:rsid w:val="00F94BC9"/>
    <w:rsid w:val="00FA2624"/>
    <w:rsid w:val="00FA3439"/>
    <w:rsid w:val="00FA4F30"/>
    <w:rsid w:val="00FB6D59"/>
    <w:rsid w:val="00FC0E23"/>
    <w:rsid w:val="00FC6ADC"/>
    <w:rsid w:val="00FD0158"/>
    <w:rsid w:val="00FD0918"/>
    <w:rsid w:val="00FD7D2C"/>
    <w:rsid w:val="00FE342E"/>
    <w:rsid w:val="00FF4897"/>
    <w:rsid w:val="01501D76"/>
    <w:rsid w:val="01C223F2"/>
    <w:rsid w:val="029C606A"/>
    <w:rsid w:val="02D74B05"/>
    <w:rsid w:val="03406500"/>
    <w:rsid w:val="03B2479A"/>
    <w:rsid w:val="03C53BB1"/>
    <w:rsid w:val="03E62F94"/>
    <w:rsid w:val="04430D42"/>
    <w:rsid w:val="04927028"/>
    <w:rsid w:val="0561330F"/>
    <w:rsid w:val="05725813"/>
    <w:rsid w:val="05955A20"/>
    <w:rsid w:val="05DE3AA7"/>
    <w:rsid w:val="06D674D8"/>
    <w:rsid w:val="07586F0B"/>
    <w:rsid w:val="07FC1F25"/>
    <w:rsid w:val="084A1DD2"/>
    <w:rsid w:val="087F1871"/>
    <w:rsid w:val="08E27D6A"/>
    <w:rsid w:val="09243177"/>
    <w:rsid w:val="093023EA"/>
    <w:rsid w:val="093F66F9"/>
    <w:rsid w:val="095F0971"/>
    <w:rsid w:val="09BB007A"/>
    <w:rsid w:val="0A321F79"/>
    <w:rsid w:val="0A452234"/>
    <w:rsid w:val="0A7B623C"/>
    <w:rsid w:val="0B7D6CF1"/>
    <w:rsid w:val="0B8003DA"/>
    <w:rsid w:val="0BE34D31"/>
    <w:rsid w:val="0C0430DF"/>
    <w:rsid w:val="0C4E6CEF"/>
    <w:rsid w:val="0D42763C"/>
    <w:rsid w:val="0D7D2EB0"/>
    <w:rsid w:val="0DAA67E0"/>
    <w:rsid w:val="0E921349"/>
    <w:rsid w:val="0EB43ECA"/>
    <w:rsid w:val="0EFF57B8"/>
    <w:rsid w:val="0FA1169D"/>
    <w:rsid w:val="0FA57E31"/>
    <w:rsid w:val="0FE07E33"/>
    <w:rsid w:val="106C72A8"/>
    <w:rsid w:val="10707C5B"/>
    <w:rsid w:val="111D577F"/>
    <w:rsid w:val="11622737"/>
    <w:rsid w:val="116A3832"/>
    <w:rsid w:val="11765F75"/>
    <w:rsid w:val="123D1FA7"/>
    <w:rsid w:val="13610944"/>
    <w:rsid w:val="144D0D6A"/>
    <w:rsid w:val="144F0B18"/>
    <w:rsid w:val="1456462A"/>
    <w:rsid w:val="14CC0DE0"/>
    <w:rsid w:val="15390ADE"/>
    <w:rsid w:val="154934C9"/>
    <w:rsid w:val="156061B7"/>
    <w:rsid w:val="156E27C7"/>
    <w:rsid w:val="15BC75E9"/>
    <w:rsid w:val="1623023D"/>
    <w:rsid w:val="1633757E"/>
    <w:rsid w:val="169F7888"/>
    <w:rsid w:val="17165AE3"/>
    <w:rsid w:val="176D2DE2"/>
    <w:rsid w:val="17B20E15"/>
    <w:rsid w:val="17C3657D"/>
    <w:rsid w:val="17DD67C8"/>
    <w:rsid w:val="185B6189"/>
    <w:rsid w:val="193442BB"/>
    <w:rsid w:val="199C1975"/>
    <w:rsid w:val="19FD7F67"/>
    <w:rsid w:val="1C1F6FB6"/>
    <w:rsid w:val="1C8521BB"/>
    <w:rsid w:val="1CAC0007"/>
    <w:rsid w:val="1CB02E44"/>
    <w:rsid w:val="1CC239AC"/>
    <w:rsid w:val="1D68655D"/>
    <w:rsid w:val="1D726CE7"/>
    <w:rsid w:val="1DD8285D"/>
    <w:rsid w:val="1DDE529B"/>
    <w:rsid w:val="1E3D12AC"/>
    <w:rsid w:val="1E665102"/>
    <w:rsid w:val="1EFA7CCA"/>
    <w:rsid w:val="1EFB2F43"/>
    <w:rsid w:val="1F4A2622"/>
    <w:rsid w:val="1FCB5467"/>
    <w:rsid w:val="209A5E23"/>
    <w:rsid w:val="20A934BA"/>
    <w:rsid w:val="21033B60"/>
    <w:rsid w:val="21305109"/>
    <w:rsid w:val="215E4706"/>
    <w:rsid w:val="221F08B5"/>
    <w:rsid w:val="235116E5"/>
    <w:rsid w:val="23602018"/>
    <w:rsid w:val="238017C1"/>
    <w:rsid w:val="23A37E20"/>
    <w:rsid w:val="247B04DB"/>
    <w:rsid w:val="24965FC8"/>
    <w:rsid w:val="24AB1637"/>
    <w:rsid w:val="24C71011"/>
    <w:rsid w:val="24CF0EED"/>
    <w:rsid w:val="24FF38B5"/>
    <w:rsid w:val="250E2C93"/>
    <w:rsid w:val="256D5F98"/>
    <w:rsid w:val="26253AEA"/>
    <w:rsid w:val="263D665E"/>
    <w:rsid w:val="269F5E93"/>
    <w:rsid w:val="26C47419"/>
    <w:rsid w:val="26CC122F"/>
    <w:rsid w:val="26CD4921"/>
    <w:rsid w:val="26D7672C"/>
    <w:rsid w:val="272C5632"/>
    <w:rsid w:val="278358C9"/>
    <w:rsid w:val="2831413F"/>
    <w:rsid w:val="286306AA"/>
    <w:rsid w:val="286F69C8"/>
    <w:rsid w:val="28DC1238"/>
    <w:rsid w:val="292F07E9"/>
    <w:rsid w:val="296658A5"/>
    <w:rsid w:val="29E00042"/>
    <w:rsid w:val="2A061B5F"/>
    <w:rsid w:val="2B29634B"/>
    <w:rsid w:val="2C273F0B"/>
    <w:rsid w:val="2C896F9D"/>
    <w:rsid w:val="2D0F6111"/>
    <w:rsid w:val="2E634BC5"/>
    <w:rsid w:val="2E976D6B"/>
    <w:rsid w:val="2EB610E9"/>
    <w:rsid w:val="2FFA6D69"/>
    <w:rsid w:val="303E16CD"/>
    <w:rsid w:val="304A5464"/>
    <w:rsid w:val="305F315B"/>
    <w:rsid w:val="308A3A5B"/>
    <w:rsid w:val="31101924"/>
    <w:rsid w:val="315849CF"/>
    <w:rsid w:val="32A3062C"/>
    <w:rsid w:val="32A50445"/>
    <w:rsid w:val="32AD1AD9"/>
    <w:rsid w:val="32B65CCB"/>
    <w:rsid w:val="336566DB"/>
    <w:rsid w:val="337D3431"/>
    <w:rsid w:val="34880F4C"/>
    <w:rsid w:val="34A404A1"/>
    <w:rsid w:val="34F74A62"/>
    <w:rsid w:val="361F3934"/>
    <w:rsid w:val="36396C17"/>
    <w:rsid w:val="36471ACA"/>
    <w:rsid w:val="366342BF"/>
    <w:rsid w:val="366E08AA"/>
    <w:rsid w:val="37A95B14"/>
    <w:rsid w:val="38886DCA"/>
    <w:rsid w:val="38FA5A72"/>
    <w:rsid w:val="39491067"/>
    <w:rsid w:val="399D0137"/>
    <w:rsid w:val="39AC528E"/>
    <w:rsid w:val="3A15504C"/>
    <w:rsid w:val="3A410978"/>
    <w:rsid w:val="3AE953B1"/>
    <w:rsid w:val="3B0009D7"/>
    <w:rsid w:val="3BCD1363"/>
    <w:rsid w:val="3C5022B9"/>
    <w:rsid w:val="3C7F3E4D"/>
    <w:rsid w:val="3CB95B82"/>
    <w:rsid w:val="3CF768D1"/>
    <w:rsid w:val="3D3925B7"/>
    <w:rsid w:val="3D3A70F6"/>
    <w:rsid w:val="3E206C64"/>
    <w:rsid w:val="3E3B66E2"/>
    <w:rsid w:val="3EAE6B1F"/>
    <w:rsid w:val="3FD62534"/>
    <w:rsid w:val="3FF070B0"/>
    <w:rsid w:val="409E3ED8"/>
    <w:rsid w:val="40B35F7F"/>
    <w:rsid w:val="40D60A8C"/>
    <w:rsid w:val="40F12D92"/>
    <w:rsid w:val="41024195"/>
    <w:rsid w:val="41953B3B"/>
    <w:rsid w:val="419D3557"/>
    <w:rsid w:val="42482EE6"/>
    <w:rsid w:val="43286ED3"/>
    <w:rsid w:val="43570169"/>
    <w:rsid w:val="43B41C71"/>
    <w:rsid w:val="43D83A6A"/>
    <w:rsid w:val="443A51AC"/>
    <w:rsid w:val="44480B57"/>
    <w:rsid w:val="44E223AB"/>
    <w:rsid w:val="450A3A5E"/>
    <w:rsid w:val="45A65D3F"/>
    <w:rsid w:val="45ED6B6F"/>
    <w:rsid w:val="460005BB"/>
    <w:rsid w:val="46277178"/>
    <w:rsid w:val="47217935"/>
    <w:rsid w:val="478F1F05"/>
    <w:rsid w:val="47E13067"/>
    <w:rsid w:val="481A6476"/>
    <w:rsid w:val="488829C2"/>
    <w:rsid w:val="48D845AE"/>
    <w:rsid w:val="49C67347"/>
    <w:rsid w:val="4A1C70CD"/>
    <w:rsid w:val="4A2B750B"/>
    <w:rsid w:val="4A8D208F"/>
    <w:rsid w:val="4AB06A05"/>
    <w:rsid w:val="4B397D97"/>
    <w:rsid w:val="4BCC5890"/>
    <w:rsid w:val="4CAB7964"/>
    <w:rsid w:val="4CBB124F"/>
    <w:rsid w:val="4D3D1623"/>
    <w:rsid w:val="4DEF5096"/>
    <w:rsid w:val="4DF41E30"/>
    <w:rsid w:val="4DF82A7A"/>
    <w:rsid w:val="4E09648D"/>
    <w:rsid w:val="4E4977F3"/>
    <w:rsid w:val="4E631567"/>
    <w:rsid w:val="4E651D1A"/>
    <w:rsid w:val="4E775013"/>
    <w:rsid w:val="4EFE34D9"/>
    <w:rsid w:val="4F3F1C24"/>
    <w:rsid w:val="4F896269"/>
    <w:rsid w:val="4F96663D"/>
    <w:rsid w:val="4FB71497"/>
    <w:rsid w:val="501A0C0E"/>
    <w:rsid w:val="50B82CD5"/>
    <w:rsid w:val="50C60EAE"/>
    <w:rsid w:val="52077991"/>
    <w:rsid w:val="525C180F"/>
    <w:rsid w:val="52785DB9"/>
    <w:rsid w:val="529E4A1C"/>
    <w:rsid w:val="52DB12D4"/>
    <w:rsid w:val="53351B4F"/>
    <w:rsid w:val="534F01DA"/>
    <w:rsid w:val="534F382F"/>
    <w:rsid w:val="547253F3"/>
    <w:rsid w:val="54A45BCE"/>
    <w:rsid w:val="554B7CC8"/>
    <w:rsid w:val="55A1633A"/>
    <w:rsid w:val="55C114F6"/>
    <w:rsid w:val="55CA2433"/>
    <w:rsid w:val="562B425A"/>
    <w:rsid w:val="57345B4E"/>
    <w:rsid w:val="574F03A6"/>
    <w:rsid w:val="57775422"/>
    <w:rsid w:val="57D31960"/>
    <w:rsid w:val="59412DE1"/>
    <w:rsid w:val="597E592B"/>
    <w:rsid w:val="5A137DC5"/>
    <w:rsid w:val="5A5566F4"/>
    <w:rsid w:val="5A6E25B7"/>
    <w:rsid w:val="5ABB20E2"/>
    <w:rsid w:val="5ADD6D30"/>
    <w:rsid w:val="5B432478"/>
    <w:rsid w:val="5B4B369F"/>
    <w:rsid w:val="5B683FF6"/>
    <w:rsid w:val="5B8D2B67"/>
    <w:rsid w:val="5BFC3492"/>
    <w:rsid w:val="5C2C7709"/>
    <w:rsid w:val="5CB31713"/>
    <w:rsid w:val="5D670002"/>
    <w:rsid w:val="5D846725"/>
    <w:rsid w:val="5DC05EB0"/>
    <w:rsid w:val="5E351DB9"/>
    <w:rsid w:val="5E797281"/>
    <w:rsid w:val="5EA622B6"/>
    <w:rsid w:val="5F4547EA"/>
    <w:rsid w:val="5F6200E6"/>
    <w:rsid w:val="5F9D56AB"/>
    <w:rsid w:val="6002763B"/>
    <w:rsid w:val="60565291"/>
    <w:rsid w:val="61104DB0"/>
    <w:rsid w:val="61201B17"/>
    <w:rsid w:val="612119FD"/>
    <w:rsid w:val="612A5313"/>
    <w:rsid w:val="61421DD7"/>
    <w:rsid w:val="616001B6"/>
    <w:rsid w:val="61971200"/>
    <w:rsid w:val="61D61A17"/>
    <w:rsid w:val="63C032E1"/>
    <w:rsid w:val="63D6320E"/>
    <w:rsid w:val="64110339"/>
    <w:rsid w:val="647003BB"/>
    <w:rsid w:val="64A15828"/>
    <w:rsid w:val="65125B3C"/>
    <w:rsid w:val="66076E62"/>
    <w:rsid w:val="662D3489"/>
    <w:rsid w:val="66CF42EB"/>
    <w:rsid w:val="671A7296"/>
    <w:rsid w:val="681C326E"/>
    <w:rsid w:val="681D0BCC"/>
    <w:rsid w:val="68EA26DA"/>
    <w:rsid w:val="69343784"/>
    <w:rsid w:val="699157C4"/>
    <w:rsid w:val="6AA25D69"/>
    <w:rsid w:val="6B3A6269"/>
    <w:rsid w:val="6BCC59CF"/>
    <w:rsid w:val="6C7F5C03"/>
    <w:rsid w:val="6CDF0597"/>
    <w:rsid w:val="6F2947CE"/>
    <w:rsid w:val="6F6159E8"/>
    <w:rsid w:val="6FE750CE"/>
    <w:rsid w:val="6FFE7DA9"/>
    <w:rsid w:val="70500FE2"/>
    <w:rsid w:val="70B42525"/>
    <w:rsid w:val="71646722"/>
    <w:rsid w:val="71682DF0"/>
    <w:rsid w:val="717D5079"/>
    <w:rsid w:val="729057D5"/>
    <w:rsid w:val="73E129E9"/>
    <w:rsid w:val="75571B60"/>
    <w:rsid w:val="7598064C"/>
    <w:rsid w:val="76040FB5"/>
    <w:rsid w:val="760F486B"/>
    <w:rsid w:val="762615C7"/>
    <w:rsid w:val="764A42E8"/>
    <w:rsid w:val="76572DFC"/>
    <w:rsid w:val="76C164E2"/>
    <w:rsid w:val="77443FA1"/>
    <w:rsid w:val="77DD1D3F"/>
    <w:rsid w:val="7869124F"/>
    <w:rsid w:val="786D5CB3"/>
    <w:rsid w:val="78D90F8C"/>
    <w:rsid w:val="78DB45F7"/>
    <w:rsid w:val="7935740B"/>
    <w:rsid w:val="79F33313"/>
    <w:rsid w:val="7A347448"/>
    <w:rsid w:val="7AEC2240"/>
    <w:rsid w:val="7B4768CA"/>
    <w:rsid w:val="7B686863"/>
    <w:rsid w:val="7BA63112"/>
    <w:rsid w:val="7BF1612A"/>
    <w:rsid w:val="7D1D63A5"/>
    <w:rsid w:val="7DD60471"/>
    <w:rsid w:val="7E347068"/>
    <w:rsid w:val="7E4B4AD8"/>
    <w:rsid w:val="7EDB44D5"/>
    <w:rsid w:val="7EF373D5"/>
    <w:rsid w:val="7F016427"/>
    <w:rsid w:val="7F245991"/>
    <w:rsid w:val="7F3E32D6"/>
    <w:rsid w:val="7F833725"/>
    <w:rsid w:val="7FF645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="t" stroke="t">
      <v:fill type="gradient" on="t" angle="90" focussize="0f,0f" focusposition="0f,0f">
        <o:fill type="gradientUnscaled" v:ext="backwardCompatible"/>
      </v:fill>
      <v:stroke weight="1.25pt" color="#739CC3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nhideWhenUsed="0" w:uiPriority="0" w:semiHidden="0" w:name="heading 7"/>
    <w:lsdException w:qFormat="1" w:unhideWhenUsed="0" w:uiPriority="0" w:semiHidden="0" w:name="heading 8"/>
    <w:lsdException w:qFormat="1" w:unhideWhenUsed="0" w:uiPriority="0" w:semiHidden="0" w:name="heading 9"/>
    <w:lsdException w:qFormat="1" w:unhideWhenUsed="0" w:uiPriority="0" w:semiHidden="0" w:name="index 1"/>
    <w:lsdException w:uiPriority="0" w:name="index 2"/>
    <w:lsdException w:uiPriority="0" w:name="index 3"/>
    <w:lsdException w:uiPriority="0" w:name="index 4"/>
    <w:lsdException w:uiPriority="0" w:name="index 5"/>
    <w:lsdException w:uiPriority="0" w:name="index 6"/>
    <w:lsdException w:uiPriority="0" w:name="index 7"/>
    <w:lsdException w:uiPriority="0" w:name="index 8"/>
    <w:lsdException w:uiPriority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qFormat="1" w:unhideWhenUsed="0" w:uiPriority="39" w:semiHidden="0" w:name="toc 4"/>
    <w:lsdException w:qFormat="1" w:unhideWhenUsed="0" w:uiPriority="39" w:semiHidden="0" w:name="toc 5"/>
    <w:lsdException w:qFormat="1" w:unhideWhenUsed="0" w:uiPriority="39" w:semiHidden="0" w:name="toc 6"/>
    <w:lsdException w:qFormat="1" w:unhideWhenUsed="0" w:uiPriority="39" w:semiHidden="0" w:name="toc 7"/>
    <w:lsdException w:qFormat="1" w:unhideWhenUsed="0" w:uiPriority="39" w:semiHidden="0" w:name="toc 8"/>
    <w:lsdException w:qFormat="1" w:unhideWhenUsed="0" w:uiPriority="39" w:semiHidden="0" w:name="toc 9"/>
    <w:lsdException w:qFormat="1" w:unhideWhenUsed="0" w:uiPriority="0" w:semiHidden="0" w:name="Normal Indent"/>
    <w:lsdException w:uiPriority="0" w:name="footnote text"/>
    <w:lsdException w:qFormat="1"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qFormat="1" w:unhideWhenUsed="0" w:uiPriority="0" w:semiHidden="0" w:name="index heading"/>
    <w:lsdException w:qFormat="1" w:uiPriority="35" w:name="caption"/>
    <w:lsdException w:uiPriority="0" w:name="table of figures"/>
    <w:lsdException w:uiPriority="0" w:name="envelope address"/>
    <w:lsdException w:uiPriority="0" w:name="envelope return"/>
    <w:lsdException w:uiPriority="0" w:name="footnote reference"/>
    <w:lsdException w:qFormat="1" w:unhideWhenUsed="0" w:uiPriority="0" w:semiHidden="0" w:name="annotation reference"/>
    <w:lsdException w:uiPriority="0" w:name="line number"/>
    <w:lsdException w:qFormat="1" w:unhideWhenUsed="0" w:uiPriority="0" w:semiHidden="0" w:name="page number"/>
    <w:lsdException w:uiPriority="0" w:name="endnote reference"/>
    <w:lsdException w:uiPriority="0" w:name="endnote text"/>
    <w:lsdException w:uiPriority="0" w:name="table of authorities"/>
    <w:lsdException w:uiPriority="0" w:name="macro"/>
    <w:lsdException w:uiPriority="0" w:name="toa heading"/>
    <w:lsdException w:uiPriority="0" w:name="List"/>
    <w:lsdException w:uiPriority="0" w:name="List Bullet"/>
    <w:lsdException w:uiPriority="0" w:name="List Number"/>
    <w:lsdException w:uiPriority="0" w:name="List 2"/>
    <w:lsdException w:uiPriority="0" w:name="List 3"/>
    <w:lsdException w:uiPriority="0" w:name="List 4"/>
    <w:lsdException w:uiPriority="0" w:name="List 5"/>
    <w:lsdException w:uiPriority="0" w:name="List Bullet 2"/>
    <w:lsdException w:uiPriority="0" w:name="List Bullet 3"/>
    <w:lsdException w:uiPriority="0" w:name="List Bullet 4"/>
    <w:lsdException w:uiPriority="0" w:name="List Bullet 5"/>
    <w:lsdException w:qFormat="1" w:unhideWhenUsed="0" w:uiPriority="0" w:semiHidden="0" w:name="List Number 2"/>
    <w:lsdException w:uiPriority="0" w:name="List Number 3"/>
    <w:lsdException w:uiPriority="0" w:name="List Number 4"/>
    <w:lsdException w:uiPriority="0" w:name="List Number 5"/>
    <w:lsdException w:qFormat="1" w:unhideWhenUsed="0" w:uiPriority="0" w:semiHidden="0" w:name="Title"/>
    <w:lsdException w:uiPriority="0" w:name="Closing"/>
    <w:lsdException w:uiPriority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0" w:name="List Continue"/>
    <w:lsdException w:uiPriority="0" w:name="List Continue 2"/>
    <w:lsdException w:uiPriority="0" w:name="List Continue 3"/>
    <w:lsdException w:uiPriority="0" w:name="List Continue 4"/>
    <w:lsdException w:uiPriority="0" w:name="List Continue 5"/>
    <w:lsdException w:uiPriority="0" w:name="Message Header"/>
    <w:lsdException w:qFormat="1" w:unhideWhenUsed="0" w:uiPriority="11" w:semiHidden="0" w:name="Subtitle"/>
    <w:lsdException w:uiPriority="0" w:name="Salutation"/>
    <w:lsdException w:qFormat="1" w:unhideWhenUsed="0" w:uiPriority="0" w:semiHidden="0" w:name="Date"/>
    <w:lsdException w:qFormat="1" w:unhideWhenUsed="0" w:uiPriority="0" w:semiHidden="0" w:name="Body Text First Indent"/>
    <w:lsdException w:uiPriority="0" w:name="Body Text First Indent 2"/>
    <w:lsdException w:uiPriority="0" w:name="Note Heading"/>
    <w:lsdException w:qFormat="1" w:unhideWhenUsed="0" w:uiPriority="0" w:semiHidden="0" w:name="Body Text 2"/>
    <w:lsdException w:qFormat="1" w:unhideWhenUsed="0" w:uiPriority="0" w:semiHidden="0" w:name="Body Text 3"/>
    <w:lsdException w:qFormat="1" w:unhideWhenUsed="0" w:uiPriority="0" w:semiHidden="0" w:name="Body Text Indent 2"/>
    <w:lsdException w:qFormat="1" w:unhideWhenUsed="0" w:uiPriority="0" w:semiHidden="0" w:name="Body Text Indent 3"/>
    <w:lsdException w:uiPriority="0" w:name="Block Text"/>
    <w:lsdException w:qFormat="1" w:unhideWhenUsed="0" w:uiPriority="99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qFormat="1" w:unhideWhenUsed="0" w:uiPriority="0" w:semiHidden="0" w:name="Document Map"/>
    <w:lsdException w:qFormat="1" w:unhideWhenUsed="0" w:uiPriority="0" w:semiHidden="0" w:name="Plain Text"/>
    <w:lsdException w:uiPriority="0" w:name="E-mail Signature"/>
    <w:lsdException w:qFormat="1" w:unhideWhenUsed="0" w:uiPriority="99" w:semiHidden="0" w:name="Normal (Web)"/>
    <w:lsdException w:uiPriority="0" w:name="HTML Acronym"/>
    <w:lsdException w:uiPriority="0" w:name="HTML Address"/>
    <w:lsdException w:uiPriority="0" w:name="HTML Cite"/>
    <w:lsdException w:uiPriority="0" w:name="HTML Code"/>
    <w:lsdException w:uiPriority="0" w:name="HTML Definition"/>
    <w:lsdException w:uiPriority="0" w:name="HTML Keyboard"/>
    <w:lsdException w:uiPriority="0" w:name="HTML Preformatted"/>
    <w:lsdException w:uiPriority="0" w:name="HTML Sample"/>
    <w:lsdException w:uiPriority="0" w:name="HTML Typewriter"/>
    <w:lsdException w:uiPriority="0" w:name="HTML Variable"/>
    <w:lsdException w:qFormat="1" w:uiPriority="99" w:name="Normal Table"/>
    <w:lsdException w:qFormat="1" w:uiPriority="0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0" w:semiHidden="0" w:name="Balloon Text"/>
    <w:lsdException w:unhideWhenUsed="0" w:uiPriority="99" w:semiHidden="0" w:name="Table Grid"/>
    <w:lsdException w:uiPriority="99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spacing w:line="360" w:lineRule="auto"/>
      <w:ind w:firstLine="420" w:firstLineChars="200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link w:val="103"/>
    <w:qFormat/>
    <w:uiPriority w:val="0"/>
    <w:pPr>
      <w:keepNext/>
      <w:keepLines/>
      <w:numPr>
        <w:ilvl w:val="0"/>
        <w:numId w:val="1"/>
      </w:numPr>
      <w:tabs>
        <w:tab w:val="left" w:pos="425"/>
      </w:tabs>
      <w:spacing w:before="120" w:after="120"/>
      <w:ind w:firstLineChars="0"/>
      <w:jc w:val="both"/>
      <w:outlineLvl w:val="0"/>
    </w:pPr>
    <w:rPr>
      <w:b/>
      <w:bCs/>
      <w:kern w:val="44"/>
      <w:sz w:val="32"/>
      <w:szCs w:val="28"/>
    </w:rPr>
  </w:style>
  <w:style w:type="paragraph" w:styleId="4">
    <w:name w:val="heading 2"/>
    <w:basedOn w:val="1"/>
    <w:next w:val="1"/>
    <w:link w:val="98"/>
    <w:qFormat/>
    <w:uiPriority w:val="0"/>
    <w:pPr>
      <w:keepNext/>
      <w:keepLines/>
      <w:numPr>
        <w:ilvl w:val="1"/>
        <w:numId w:val="1"/>
      </w:numPr>
      <w:tabs>
        <w:tab w:val="left" w:pos="567"/>
      </w:tabs>
      <w:spacing w:before="120" w:after="120"/>
      <w:ind w:firstLineChars="0"/>
      <w:jc w:val="both"/>
      <w:outlineLvl w:val="1"/>
    </w:pPr>
    <w:rPr>
      <w:b/>
      <w:bCs/>
      <w:sz w:val="30"/>
      <w:szCs w:val="32"/>
    </w:rPr>
  </w:style>
  <w:style w:type="paragraph" w:styleId="5">
    <w:name w:val="heading 3"/>
    <w:basedOn w:val="1"/>
    <w:next w:val="1"/>
    <w:link w:val="49"/>
    <w:qFormat/>
    <w:uiPriority w:val="0"/>
    <w:pPr>
      <w:keepNext/>
      <w:keepLines/>
      <w:numPr>
        <w:ilvl w:val="2"/>
        <w:numId w:val="1"/>
      </w:numPr>
      <w:tabs>
        <w:tab w:val="left" w:pos="567"/>
      </w:tabs>
      <w:spacing w:before="120" w:after="120"/>
      <w:ind w:firstLineChars="0"/>
      <w:jc w:val="both"/>
      <w:outlineLvl w:val="2"/>
    </w:pPr>
    <w:rPr>
      <w:b/>
      <w:bCs/>
      <w:sz w:val="28"/>
      <w:szCs w:val="18"/>
    </w:rPr>
  </w:style>
  <w:style w:type="paragraph" w:styleId="6">
    <w:name w:val="heading 4"/>
    <w:basedOn w:val="1"/>
    <w:next w:val="1"/>
    <w:link w:val="107"/>
    <w:qFormat/>
    <w:uiPriority w:val="0"/>
    <w:pPr>
      <w:keepNext/>
      <w:keepLines/>
      <w:tabs>
        <w:tab w:val="left" w:pos="504"/>
      </w:tabs>
      <w:spacing w:before="120" w:after="120"/>
      <w:ind w:firstLine="0" w:firstLineChars="0"/>
      <w:outlineLvl w:val="3"/>
    </w:pPr>
    <w:rPr>
      <w:rFonts w:hAnsi="Arial"/>
      <w:b/>
      <w:bCs/>
      <w:sz w:val="24"/>
      <w:szCs w:val="28"/>
    </w:rPr>
  </w:style>
  <w:style w:type="paragraph" w:styleId="7">
    <w:name w:val="heading 5"/>
    <w:basedOn w:val="1"/>
    <w:next w:val="1"/>
    <w:link w:val="87"/>
    <w:qFormat/>
    <w:uiPriority w:val="0"/>
    <w:pPr>
      <w:keepNext/>
      <w:keepLines/>
      <w:spacing w:before="280" w:after="290" w:line="372" w:lineRule="auto"/>
      <w:ind w:firstLine="0" w:firstLineChars="0"/>
      <w:outlineLvl w:val="4"/>
    </w:pPr>
    <w:rPr>
      <w:b/>
      <w:bCs/>
      <w:sz w:val="28"/>
      <w:szCs w:val="28"/>
    </w:rPr>
  </w:style>
  <w:style w:type="paragraph" w:styleId="8">
    <w:name w:val="heading 6"/>
    <w:basedOn w:val="7"/>
    <w:next w:val="1"/>
    <w:link w:val="89"/>
    <w:qFormat/>
    <w:uiPriority w:val="0"/>
    <w:pPr>
      <w:tabs>
        <w:tab w:val="left" w:pos="1440"/>
      </w:tabs>
      <w:spacing w:before="260" w:after="260" w:line="360" w:lineRule="auto"/>
      <w:outlineLvl w:val="5"/>
    </w:pPr>
    <w:rPr>
      <w:sz w:val="30"/>
      <w:szCs w:val="18"/>
    </w:rPr>
  </w:style>
  <w:style w:type="paragraph" w:styleId="9">
    <w:name w:val="heading 7"/>
    <w:basedOn w:val="8"/>
    <w:next w:val="1"/>
    <w:link w:val="91"/>
    <w:qFormat/>
    <w:uiPriority w:val="0"/>
    <w:pPr>
      <w:tabs>
        <w:tab w:val="left" w:pos="1800"/>
        <w:tab w:val="clear" w:pos="1440"/>
      </w:tabs>
      <w:outlineLvl w:val="6"/>
    </w:pPr>
  </w:style>
  <w:style w:type="paragraph" w:styleId="10">
    <w:name w:val="heading 8"/>
    <w:basedOn w:val="9"/>
    <w:next w:val="1"/>
    <w:link w:val="92"/>
    <w:qFormat/>
    <w:uiPriority w:val="0"/>
    <w:pPr>
      <w:outlineLvl w:val="7"/>
    </w:pPr>
  </w:style>
  <w:style w:type="paragraph" w:styleId="11">
    <w:name w:val="heading 9"/>
    <w:basedOn w:val="10"/>
    <w:next w:val="1"/>
    <w:link w:val="94"/>
    <w:qFormat/>
    <w:uiPriority w:val="0"/>
    <w:pPr>
      <w:tabs>
        <w:tab w:val="left" w:pos="2160"/>
        <w:tab w:val="clear" w:pos="1800"/>
      </w:tabs>
      <w:outlineLvl w:val="8"/>
    </w:pPr>
  </w:style>
  <w:style w:type="character" w:default="1" w:styleId="43">
    <w:name w:val="Default Paragraph Font"/>
    <w:semiHidden/>
    <w:unhideWhenUsed/>
    <w:qFormat/>
    <w:uiPriority w:val="1"/>
  </w:style>
  <w:style w:type="table" w:default="1" w:styleId="4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样式 首行缩进:  2 字符"/>
    <w:basedOn w:val="1"/>
    <w:qFormat/>
    <w:uiPriority w:val="0"/>
    <w:pPr>
      <w:ind w:firstLine="480"/>
    </w:pPr>
    <w:rPr>
      <w:rFonts w:ascii="Calibri" w:hAnsi="Calibri" w:cs="宋体"/>
      <w:color w:val="000000"/>
      <w:szCs w:val="20"/>
    </w:rPr>
  </w:style>
  <w:style w:type="paragraph" w:styleId="12">
    <w:name w:val="toc 7"/>
    <w:basedOn w:val="1"/>
    <w:next w:val="1"/>
    <w:qFormat/>
    <w:uiPriority w:val="39"/>
    <w:pPr>
      <w:ind w:left="1260"/>
    </w:pPr>
    <w:rPr>
      <w:rFonts w:ascii="Calibri" w:hAnsi="Calibri" w:cs="Calibri"/>
      <w:sz w:val="18"/>
      <w:szCs w:val="18"/>
    </w:rPr>
  </w:style>
  <w:style w:type="paragraph" w:styleId="13">
    <w:name w:val="List Number 2"/>
    <w:basedOn w:val="1"/>
    <w:qFormat/>
    <w:uiPriority w:val="0"/>
    <w:pPr>
      <w:tabs>
        <w:tab w:val="left" w:pos="567"/>
      </w:tabs>
      <w:adjustRightInd w:val="0"/>
      <w:spacing w:line="300" w:lineRule="auto"/>
      <w:ind w:left="425" w:hanging="425"/>
      <w:textAlignment w:val="baseline"/>
    </w:pPr>
    <w:rPr>
      <w:kern w:val="0"/>
      <w:sz w:val="28"/>
      <w:szCs w:val="20"/>
    </w:rPr>
  </w:style>
  <w:style w:type="paragraph" w:styleId="14">
    <w:name w:val="Normal Indent"/>
    <w:basedOn w:val="1"/>
    <w:qFormat/>
    <w:uiPriority w:val="0"/>
    <w:pPr>
      <w:tabs>
        <w:tab w:val="left" w:pos="720"/>
      </w:tabs>
      <w:spacing w:before="60" w:after="60"/>
      <w:ind w:firstLine="480"/>
    </w:pPr>
    <w:rPr>
      <w:sz w:val="24"/>
      <w:szCs w:val="20"/>
    </w:rPr>
  </w:style>
  <w:style w:type="paragraph" w:styleId="15">
    <w:name w:val="Document Map"/>
    <w:basedOn w:val="1"/>
    <w:link w:val="109"/>
    <w:qFormat/>
    <w:uiPriority w:val="0"/>
    <w:rPr>
      <w:rFonts w:ascii="宋体"/>
      <w:sz w:val="18"/>
      <w:szCs w:val="18"/>
    </w:rPr>
  </w:style>
  <w:style w:type="paragraph" w:styleId="16">
    <w:name w:val="annotation text"/>
    <w:basedOn w:val="1"/>
    <w:link w:val="101"/>
    <w:qFormat/>
    <w:uiPriority w:val="0"/>
  </w:style>
  <w:style w:type="paragraph" w:styleId="17">
    <w:name w:val="Body Text 3"/>
    <w:basedOn w:val="1"/>
    <w:link w:val="111"/>
    <w:qFormat/>
    <w:uiPriority w:val="0"/>
    <w:pPr>
      <w:spacing w:after="120"/>
    </w:pPr>
    <w:rPr>
      <w:sz w:val="16"/>
      <w:szCs w:val="16"/>
    </w:rPr>
  </w:style>
  <w:style w:type="paragraph" w:styleId="18">
    <w:name w:val="Body Text"/>
    <w:basedOn w:val="1"/>
    <w:link w:val="105"/>
    <w:qFormat/>
    <w:uiPriority w:val="0"/>
    <w:pPr>
      <w:spacing w:after="120"/>
    </w:pPr>
  </w:style>
  <w:style w:type="paragraph" w:styleId="19">
    <w:name w:val="Body Text Indent"/>
    <w:basedOn w:val="1"/>
    <w:link w:val="96"/>
    <w:qFormat/>
    <w:uiPriority w:val="0"/>
    <w:pPr>
      <w:spacing w:after="120"/>
      <w:ind w:left="420" w:leftChars="200"/>
    </w:pPr>
  </w:style>
  <w:style w:type="paragraph" w:styleId="20">
    <w:name w:val="toc 5"/>
    <w:basedOn w:val="1"/>
    <w:next w:val="1"/>
    <w:qFormat/>
    <w:uiPriority w:val="39"/>
    <w:pPr>
      <w:spacing w:line="240" w:lineRule="auto"/>
      <w:ind w:firstLine="800" w:firstLineChars="800"/>
    </w:pPr>
    <w:rPr>
      <w:rFonts w:cs="Calibri"/>
      <w:szCs w:val="18"/>
    </w:rPr>
  </w:style>
  <w:style w:type="paragraph" w:styleId="21">
    <w:name w:val="toc 3"/>
    <w:basedOn w:val="1"/>
    <w:next w:val="1"/>
    <w:qFormat/>
    <w:uiPriority w:val="39"/>
    <w:pPr>
      <w:spacing w:line="240" w:lineRule="auto"/>
      <w:ind w:firstLine="400" w:firstLineChars="400"/>
    </w:pPr>
    <w:rPr>
      <w:rFonts w:cs="Calibri"/>
      <w:iCs/>
      <w:szCs w:val="20"/>
    </w:rPr>
  </w:style>
  <w:style w:type="paragraph" w:styleId="22">
    <w:name w:val="Plain Text"/>
    <w:basedOn w:val="1"/>
    <w:link w:val="97"/>
    <w:qFormat/>
    <w:uiPriority w:val="0"/>
    <w:rPr>
      <w:rFonts w:ascii="宋体" w:hAnsi="Courier New"/>
    </w:rPr>
  </w:style>
  <w:style w:type="paragraph" w:styleId="23">
    <w:name w:val="toc 8"/>
    <w:basedOn w:val="1"/>
    <w:next w:val="1"/>
    <w:qFormat/>
    <w:uiPriority w:val="39"/>
    <w:pPr>
      <w:ind w:left="1470"/>
    </w:pPr>
    <w:rPr>
      <w:rFonts w:ascii="Calibri" w:hAnsi="Calibri" w:cs="Calibri"/>
      <w:sz w:val="18"/>
      <w:szCs w:val="18"/>
    </w:rPr>
  </w:style>
  <w:style w:type="paragraph" w:styleId="24">
    <w:name w:val="Date"/>
    <w:basedOn w:val="1"/>
    <w:next w:val="1"/>
    <w:link w:val="114"/>
    <w:qFormat/>
    <w:uiPriority w:val="0"/>
    <w:pPr>
      <w:ind w:left="100" w:leftChars="2500"/>
    </w:pPr>
  </w:style>
  <w:style w:type="paragraph" w:styleId="25">
    <w:name w:val="Body Text Indent 2"/>
    <w:basedOn w:val="1"/>
    <w:link w:val="93"/>
    <w:qFormat/>
    <w:uiPriority w:val="0"/>
    <w:pPr>
      <w:spacing w:after="120" w:line="480" w:lineRule="auto"/>
      <w:ind w:left="420" w:leftChars="200"/>
    </w:pPr>
  </w:style>
  <w:style w:type="paragraph" w:styleId="26">
    <w:name w:val="Balloon Text"/>
    <w:basedOn w:val="1"/>
    <w:link w:val="100"/>
    <w:qFormat/>
    <w:uiPriority w:val="0"/>
    <w:rPr>
      <w:sz w:val="18"/>
      <w:szCs w:val="18"/>
    </w:rPr>
  </w:style>
  <w:style w:type="paragraph" w:styleId="27">
    <w:name w:val="footer"/>
    <w:basedOn w:val="1"/>
    <w:link w:val="99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28">
    <w:name w:val="header"/>
    <w:basedOn w:val="1"/>
    <w:link w:val="88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29">
    <w:name w:val="toc 1"/>
    <w:basedOn w:val="1"/>
    <w:next w:val="1"/>
    <w:qFormat/>
    <w:uiPriority w:val="39"/>
    <w:pPr>
      <w:spacing w:line="240" w:lineRule="auto"/>
      <w:ind w:firstLine="0" w:firstLineChars="0"/>
    </w:pPr>
    <w:rPr>
      <w:rFonts w:cs="Calibri"/>
      <w:bCs/>
      <w:caps/>
      <w:szCs w:val="20"/>
    </w:rPr>
  </w:style>
  <w:style w:type="paragraph" w:styleId="30">
    <w:name w:val="toc 4"/>
    <w:basedOn w:val="1"/>
    <w:next w:val="1"/>
    <w:qFormat/>
    <w:uiPriority w:val="39"/>
    <w:pPr>
      <w:spacing w:line="240" w:lineRule="auto"/>
      <w:ind w:firstLine="600" w:firstLineChars="600"/>
    </w:pPr>
    <w:rPr>
      <w:rFonts w:cs="Calibri"/>
      <w:szCs w:val="18"/>
    </w:rPr>
  </w:style>
  <w:style w:type="paragraph" w:styleId="31">
    <w:name w:val="index heading"/>
    <w:basedOn w:val="1"/>
    <w:next w:val="32"/>
    <w:qFormat/>
    <w:uiPriority w:val="0"/>
    <w:pPr>
      <w:spacing w:line="300" w:lineRule="auto"/>
    </w:pPr>
    <w:rPr>
      <w:rFonts w:eastAsia="楷体_GB2312"/>
      <w:sz w:val="24"/>
    </w:rPr>
  </w:style>
  <w:style w:type="paragraph" w:styleId="32">
    <w:name w:val="index 1"/>
    <w:basedOn w:val="1"/>
    <w:next w:val="1"/>
    <w:qFormat/>
    <w:uiPriority w:val="0"/>
  </w:style>
  <w:style w:type="paragraph" w:styleId="33">
    <w:name w:val="toc 6"/>
    <w:basedOn w:val="1"/>
    <w:next w:val="1"/>
    <w:qFormat/>
    <w:uiPriority w:val="39"/>
    <w:pPr>
      <w:ind w:left="1050"/>
    </w:pPr>
    <w:rPr>
      <w:rFonts w:ascii="Calibri" w:hAnsi="Calibri" w:cs="Calibri"/>
      <w:sz w:val="18"/>
      <w:szCs w:val="18"/>
    </w:rPr>
  </w:style>
  <w:style w:type="paragraph" w:styleId="34">
    <w:name w:val="Body Text Indent 3"/>
    <w:basedOn w:val="1"/>
    <w:link w:val="108"/>
    <w:qFormat/>
    <w:uiPriority w:val="0"/>
    <w:pPr>
      <w:spacing w:after="120"/>
      <w:ind w:left="420" w:leftChars="200"/>
    </w:pPr>
    <w:rPr>
      <w:sz w:val="16"/>
      <w:szCs w:val="16"/>
    </w:rPr>
  </w:style>
  <w:style w:type="paragraph" w:styleId="35">
    <w:name w:val="toc 2"/>
    <w:basedOn w:val="1"/>
    <w:next w:val="1"/>
    <w:qFormat/>
    <w:uiPriority w:val="39"/>
    <w:pPr>
      <w:spacing w:line="240" w:lineRule="auto"/>
      <w:ind w:firstLine="200"/>
    </w:pPr>
    <w:rPr>
      <w:rFonts w:cs="Calibri"/>
      <w:smallCaps/>
      <w:szCs w:val="20"/>
    </w:rPr>
  </w:style>
  <w:style w:type="paragraph" w:styleId="36">
    <w:name w:val="toc 9"/>
    <w:basedOn w:val="1"/>
    <w:next w:val="1"/>
    <w:qFormat/>
    <w:uiPriority w:val="39"/>
    <w:pPr>
      <w:ind w:left="1680"/>
    </w:pPr>
    <w:rPr>
      <w:rFonts w:ascii="Calibri" w:hAnsi="Calibri" w:cs="Calibri"/>
      <w:sz w:val="18"/>
      <w:szCs w:val="18"/>
    </w:rPr>
  </w:style>
  <w:style w:type="paragraph" w:styleId="37">
    <w:name w:val="Body Text 2"/>
    <w:basedOn w:val="1"/>
    <w:link w:val="112"/>
    <w:qFormat/>
    <w:uiPriority w:val="0"/>
    <w:pPr>
      <w:spacing w:after="120" w:line="480" w:lineRule="auto"/>
    </w:pPr>
  </w:style>
  <w:style w:type="paragraph" w:styleId="38">
    <w:name w:val="Normal (Web)"/>
    <w:basedOn w:val="1"/>
    <w:qFormat/>
    <w:uiPriority w:val="99"/>
    <w:pPr>
      <w:widowControl/>
      <w:spacing w:before="100" w:after="100"/>
    </w:pPr>
    <w:rPr>
      <w:rFonts w:hint="eastAsia" w:ascii="Arial Unicode MS" w:hAnsi="Arial Unicode MS" w:eastAsia="Arial Unicode MS"/>
      <w:kern w:val="0"/>
      <w:sz w:val="24"/>
    </w:rPr>
  </w:style>
  <w:style w:type="paragraph" w:styleId="39">
    <w:name w:val="Title"/>
    <w:basedOn w:val="1"/>
    <w:link w:val="90"/>
    <w:qFormat/>
    <w:uiPriority w:val="0"/>
    <w:pPr>
      <w:tabs>
        <w:tab w:val="left" w:pos="432"/>
      </w:tabs>
      <w:spacing w:before="240" w:after="60"/>
      <w:ind w:left="432" w:hanging="432"/>
      <w:jc w:val="center"/>
      <w:outlineLvl w:val="0"/>
    </w:pPr>
    <w:rPr>
      <w:rFonts w:ascii="Arial" w:hAnsi="Arial" w:cs="Arial"/>
      <w:b/>
      <w:bCs/>
      <w:sz w:val="32"/>
      <w:szCs w:val="32"/>
    </w:rPr>
  </w:style>
  <w:style w:type="paragraph" w:styleId="40">
    <w:name w:val="annotation subject"/>
    <w:basedOn w:val="16"/>
    <w:next w:val="16"/>
    <w:link w:val="130"/>
    <w:semiHidden/>
    <w:unhideWhenUsed/>
    <w:qFormat/>
    <w:uiPriority w:val="0"/>
    <w:rPr>
      <w:b/>
      <w:bCs/>
    </w:rPr>
  </w:style>
  <w:style w:type="paragraph" w:styleId="41">
    <w:name w:val="Body Text First Indent"/>
    <w:basedOn w:val="18"/>
    <w:link w:val="104"/>
    <w:qFormat/>
    <w:uiPriority w:val="0"/>
    <w:pPr>
      <w:ind w:firstLine="100" w:firstLineChars="100"/>
    </w:pPr>
  </w:style>
  <w:style w:type="character" w:styleId="44">
    <w:name w:val="Strong"/>
    <w:qFormat/>
    <w:uiPriority w:val="0"/>
    <w:rPr>
      <w:b/>
      <w:bCs/>
    </w:rPr>
  </w:style>
  <w:style w:type="character" w:styleId="45">
    <w:name w:val="page number"/>
    <w:basedOn w:val="43"/>
    <w:qFormat/>
    <w:uiPriority w:val="0"/>
  </w:style>
  <w:style w:type="character" w:styleId="46">
    <w:name w:val="FollowedHyperlink"/>
    <w:qFormat/>
    <w:uiPriority w:val="0"/>
    <w:rPr>
      <w:color w:val="800080"/>
      <w:u w:val="single"/>
    </w:rPr>
  </w:style>
  <w:style w:type="character" w:styleId="47">
    <w:name w:val="Hyperlink"/>
    <w:qFormat/>
    <w:uiPriority w:val="99"/>
    <w:rPr>
      <w:color w:val="0000FF"/>
      <w:u w:val="single"/>
    </w:rPr>
  </w:style>
  <w:style w:type="character" w:styleId="48">
    <w:name w:val="annotation reference"/>
    <w:qFormat/>
    <w:uiPriority w:val="0"/>
    <w:rPr>
      <w:sz w:val="21"/>
      <w:szCs w:val="21"/>
    </w:rPr>
  </w:style>
  <w:style w:type="character" w:customStyle="1" w:styleId="49">
    <w:name w:val="标题 3 字符"/>
    <w:link w:val="5"/>
    <w:qFormat/>
    <w:uiPriority w:val="0"/>
    <w:rPr>
      <w:b/>
      <w:bCs/>
      <w:kern w:val="2"/>
      <w:sz w:val="28"/>
      <w:szCs w:val="18"/>
    </w:rPr>
  </w:style>
  <w:style w:type="paragraph" w:customStyle="1" w:styleId="50">
    <w:name w:val="xl29"/>
    <w:basedOn w:val="1"/>
    <w:qFormat/>
    <w:uiPriority w:val="0"/>
    <w:pPr>
      <w:widowControl/>
      <w:pBdr>
        <w:bottom w:val="single" w:color="auto" w:sz="4" w:space="0"/>
        <w:right w:val="single" w:color="auto" w:sz="12" w:space="0"/>
      </w:pBdr>
      <w:spacing w:before="100" w:beforeAutospacing="1" w:after="100" w:afterAutospacing="1"/>
      <w:textAlignment w:val="top"/>
    </w:pPr>
    <w:rPr>
      <w:rFonts w:ascii="Arial Unicode MS" w:eastAsia="Arial Unicode MS"/>
      <w:kern w:val="0"/>
      <w:sz w:val="24"/>
    </w:rPr>
  </w:style>
  <w:style w:type="paragraph" w:customStyle="1" w:styleId="51">
    <w:name w:val="正文无缩进"/>
    <w:basedOn w:val="1"/>
    <w:qFormat/>
    <w:uiPriority w:val="0"/>
    <w:pPr>
      <w:spacing w:beforeLines="50" w:line="300" w:lineRule="auto"/>
      <w:jc w:val="center"/>
    </w:pPr>
    <w:rPr>
      <w:rFonts w:ascii="宋体" w:hAnsi="宋体"/>
      <w:sz w:val="24"/>
    </w:rPr>
  </w:style>
  <w:style w:type="paragraph" w:customStyle="1" w:styleId="52">
    <w:name w:val="段 Char"/>
    <w:qFormat/>
    <w:uiPriority w:val="0"/>
    <w:pPr>
      <w:autoSpaceDE w:val="0"/>
      <w:autoSpaceDN w:val="0"/>
      <w:ind w:firstLine="200" w:firstLineChars="200"/>
      <w:jc w:val="both"/>
    </w:pPr>
    <w:rPr>
      <w:rFonts w:ascii="宋体" w:hAnsi="Times New Roman" w:eastAsia="宋体" w:cs="Times New Roman"/>
      <w:sz w:val="21"/>
      <w:lang w:val="en-US" w:eastAsia="zh-CN" w:bidi="ar-SA"/>
    </w:rPr>
  </w:style>
  <w:style w:type="paragraph" w:customStyle="1" w:styleId="53">
    <w:name w:val="Char Char1"/>
    <w:basedOn w:val="1"/>
    <w:qFormat/>
    <w:uiPriority w:val="0"/>
    <w:pPr>
      <w:widowControl/>
      <w:spacing w:after="160" w:line="240" w:lineRule="exact"/>
    </w:pPr>
    <w:rPr>
      <w:rFonts w:ascii="Verdana" w:hAnsi="Verdana"/>
      <w:kern w:val="0"/>
      <w:sz w:val="20"/>
      <w:lang w:eastAsia="en-US"/>
    </w:rPr>
  </w:style>
  <w:style w:type="paragraph" w:customStyle="1" w:styleId="54">
    <w:name w:val="4"/>
    <w:basedOn w:val="1"/>
    <w:qFormat/>
    <w:uiPriority w:val="0"/>
    <w:pPr>
      <w:spacing w:line="300" w:lineRule="auto"/>
      <w:ind w:firstLine="480"/>
    </w:pPr>
    <w:rPr>
      <w:sz w:val="24"/>
      <w:szCs w:val="20"/>
    </w:rPr>
  </w:style>
  <w:style w:type="paragraph" w:customStyle="1" w:styleId="55">
    <w:name w:val="TOC 标题1"/>
    <w:basedOn w:val="3"/>
    <w:next w:val="1"/>
    <w:qFormat/>
    <w:uiPriority w:val="39"/>
    <w:pPr>
      <w:widowControl/>
      <w:spacing w:before="480" w:after="0" w:line="276" w:lineRule="auto"/>
      <w:outlineLvl w:val="9"/>
    </w:pPr>
    <w:rPr>
      <w:rFonts w:ascii="Cambria" w:hAnsi="Cambria"/>
      <w:color w:val="365F91"/>
      <w:kern w:val="0"/>
      <w:sz w:val="28"/>
    </w:rPr>
  </w:style>
  <w:style w:type="paragraph" w:customStyle="1" w:styleId="56">
    <w:name w:val="Char"/>
    <w:basedOn w:val="1"/>
    <w:qFormat/>
    <w:uiPriority w:val="0"/>
    <w:pPr>
      <w:tabs>
        <w:tab w:val="left" w:pos="360"/>
      </w:tabs>
    </w:pPr>
    <w:rPr>
      <w:sz w:val="24"/>
    </w:rPr>
  </w:style>
  <w:style w:type="paragraph" w:customStyle="1" w:styleId="57">
    <w:name w:val="Char Char3 Char Char Char Char"/>
    <w:basedOn w:val="1"/>
    <w:qFormat/>
    <w:uiPriority w:val="0"/>
    <w:pPr>
      <w:widowControl/>
      <w:spacing w:after="160" w:line="240" w:lineRule="exact"/>
    </w:pPr>
    <w:rPr>
      <w:rFonts w:ascii="Verdana" w:hAnsi="Verdana"/>
      <w:kern w:val="0"/>
      <w:sz w:val="20"/>
      <w:szCs w:val="20"/>
      <w:lang w:eastAsia="en-US"/>
    </w:rPr>
  </w:style>
  <w:style w:type="paragraph" w:customStyle="1" w:styleId="58">
    <w:name w:val="Char Char Char Char"/>
    <w:basedOn w:val="15"/>
    <w:qFormat/>
    <w:uiPriority w:val="0"/>
    <w:pPr>
      <w:widowControl/>
      <w:shd w:val="clear" w:color="auto" w:fill="000080"/>
      <w:ind w:firstLine="454"/>
    </w:pPr>
    <w:rPr>
      <w:rFonts w:ascii="Tahoma" w:hAnsi="Tahoma" w:cs="宋体"/>
      <w:kern w:val="0"/>
      <w:sz w:val="21"/>
      <w:szCs w:val="20"/>
    </w:rPr>
  </w:style>
  <w:style w:type="paragraph" w:customStyle="1" w:styleId="59">
    <w:name w:val="Indent Normal"/>
    <w:basedOn w:val="1"/>
    <w:qFormat/>
    <w:uiPriority w:val="0"/>
    <w:pPr>
      <w:ind w:firstLine="150" w:firstLineChars="150"/>
    </w:pPr>
    <w:rPr>
      <w:sz w:val="24"/>
    </w:rPr>
  </w:style>
  <w:style w:type="paragraph" w:customStyle="1" w:styleId="60">
    <w:name w:val="助手文本"/>
    <w:basedOn w:val="1"/>
    <w:qFormat/>
    <w:uiPriority w:val="0"/>
    <w:pPr>
      <w:autoSpaceDE w:val="0"/>
      <w:autoSpaceDN w:val="0"/>
      <w:adjustRightInd w:val="0"/>
      <w:spacing w:beforeLines="50" w:afterLines="50"/>
      <w:ind w:left="14" w:firstLine="434"/>
      <w:textAlignment w:val="baseline"/>
    </w:pPr>
    <w:rPr>
      <w:rFonts w:ascii="楷体_GB2312" w:eastAsia="楷体_GB2312"/>
      <w:kern w:val="0"/>
      <w:sz w:val="24"/>
      <w:szCs w:val="20"/>
      <w:u w:val="single"/>
    </w:rPr>
  </w:style>
  <w:style w:type="paragraph" w:customStyle="1" w:styleId="61">
    <w:name w:val="样式1"/>
    <w:basedOn w:val="1"/>
    <w:link w:val="131"/>
    <w:qFormat/>
    <w:uiPriority w:val="0"/>
    <w:pPr>
      <w:spacing w:line="300" w:lineRule="auto"/>
      <w:ind w:firstLine="480"/>
    </w:pPr>
    <w:rPr>
      <w:sz w:val="24"/>
    </w:rPr>
  </w:style>
  <w:style w:type="paragraph" w:customStyle="1" w:styleId="62">
    <w:name w:val="正文--表格内正文"/>
    <w:basedOn w:val="1"/>
    <w:qFormat/>
    <w:uiPriority w:val="0"/>
    <w:pPr>
      <w:spacing w:beforeLines="50" w:line="0" w:lineRule="atLeast"/>
      <w:jc w:val="center"/>
    </w:pPr>
    <w:rPr>
      <w:rFonts w:ascii="宋体" w:hAnsi="宋体"/>
      <w:sz w:val="24"/>
    </w:rPr>
  </w:style>
  <w:style w:type="paragraph" w:customStyle="1" w:styleId="63">
    <w:name w:val="Char Char1 Char Char Char Char Char Char"/>
    <w:basedOn w:val="1"/>
    <w:qFormat/>
    <w:uiPriority w:val="0"/>
    <w:pPr>
      <w:widowControl/>
      <w:spacing w:after="160" w:line="240" w:lineRule="exact"/>
    </w:pPr>
    <w:rPr>
      <w:rFonts w:ascii="Verdana" w:hAnsi="Verdana" w:eastAsia="仿宋_GB2312"/>
      <w:kern w:val="0"/>
      <w:sz w:val="24"/>
      <w:szCs w:val="20"/>
      <w:lang w:eastAsia="en-US"/>
    </w:rPr>
  </w:style>
  <w:style w:type="paragraph" w:customStyle="1" w:styleId="64">
    <w:name w:val="样式4 Char"/>
    <w:basedOn w:val="1"/>
    <w:qFormat/>
    <w:uiPriority w:val="0"/>
    <w:pPr>
      <w:widowControl/>
      <w:ind w:firstLine="480"/>
    </w:pPr>
    <w:rPr>
      <w:color w:val="000000"/>
      <w:kern w:val="0"/>
      <w:sz w:val="24"/>
    </w:rPr>
  </w:style>
  <w:style w:type="paragraph" w:customStyle="1" w:styleId="65">
    <w:name w:val="列出段落1"/>
    <w:basedOn w:val="1"/>
    <w:qFormat/>
    <w:uiPriority w:val="34"/>
  </w:style>
  <w:style w:type="paragraph" w:customStyle="1" w:styleId="66">
    <w:name w:val="paragraphindent"/>
    <w:basedOn w:val="1"/>
    <w:qFormat/>
    <w:uiPriority w:val="0"/>
    <w:pPr>
      <w:widowControl/>
      <w:spacing w:before="100" w:beforeAutospacing="1" w:after="100" w:afterAutospacing="1"/>
    </w:pPr>
    <w:rPr>
      <w:rFonts w:ascii="宋体" w:hAnsi="宋体" w:cs="宋体"/>
      <w:kern w:val="0"/>
      <w:sz w:val="24"/>
    </w:rPr>
  </w:style>
  <w:style w:type="paragraph" w:customStyle="1" w:styleId="67">
    <w:name w:val="FA正文"/>
    <w:basedOn w:val="1"/>
    <w:link w:val="110"/>
    <w:qFormat/>
    <w:uiPriority w:val="0"/>
    <w:pPr>
      <w:tabs>
        <w:tab w:val="left" w:pos="3375"/>
      </w:tabs>
      <w:ind w:firstLine="520"/>
    </w:pPr>
    <w:rPr>
      <w:rFonts w:ascii="宋体" w:hAnsi="宋体"/>
      <w:spacing w:val="10"/>
      <w:sz w:val="24"/>
    </w:rPr>
  </w:style>
  <w:style w:type="paragraph" w:customStyle="1" w:styleId="68">
    <w:name w:val="14_black"/>
    <w:basedOn w:val="1"/>
    <w:qFormat/>
    <w:uiPriority w:val="0"/>
    <w:pPr>
      <w:widowControl/>
      <w:spacing w:before="100" w:beforeAutospacing="1" w:after="100" w:afterAutospacing="1"/>
    </w:pPr>
    <w:rPr>
      <w:rFonts w:ascii="宋体" w:hAnsi="宋体" w:cs="宋体"/>
      <w:color w:val="000000"/>
      <w:kern w:val="0"/>
      <w:sz w:val="23"/>
      <w:szCs w:val="23"/>
    </w:rPr>
  </w:style>
  <w:style w:type="paragraph" w:customStyle="1" w:styleId="69">
    <w:name w:val="È±Ê¡ÎÄ±¾"/>
    <w:basedOn w:val="1"/>
    <w:qFormat/>
    <w:uiPriority w:val="0"/>
    <w:pPr>
      <w:widowControl/>
      <w:overflowPunct w:val="0"/>
      <w:autoSpaceDE w:val="0"/>
      <w:autoSpaceDN w:val="0"/>
      <w:adjustRightInd w:val="0"/>
      <w:textAlignment w:val="baseline"/>
    </w:pPr>
    <w:rPr>
      <w:kern w:val="0"/>
      <w:sz w:val="24"/>
      <w:szCs w:val="20"/>
    </w:rPr>
  </w:style>
  <w:style w:type="paragraph" w:customStyle="1" w:styleId="70">
    <w:name w:val="样式2"/>
    <w:basedOn w:val="1"/>
    <w:link w:val="116"/>
    <w:qFormat/>
    <w:uiPriority w:val="0"/>
    <w:pPr>
      <w:spacing w:before="120" w:after="120"/>
      <w:outlineLvl w:val="1"/>
    </w:pPr>
    <w:rPr>
      <w:b/>
      <w:sz w:val="30"/>
    </w:rPr>
  </w:style>
  <w:style w:type="paragraph" w:customStyle="1" w:styleId="71">
    <w:name w:val="样式3"/>
    <w:basedOn w:val="28"/>
    <w:link w:val="117"/>
    <w:qFormat/>
    <w:uiPriority w:val="0"/>
    <w:pPr>
      <w:ind w:firstLine="360"/>
    </w:pPr>
  </w:style>
  <w:style w:type="paragraph" w:customStyle="1" w:styleId="72">
    <w:name w:val="样式4"/>
    <w:basedOn w:val="71"/>
    <w:link w:val="118"/>
    <w:qFormat/>
    <w:uiPriority w:val="0"/>
  </w:style>
  <w:style w:type="paragraph" w:customStyle="1" w:styleId="73">
    <w:name w:val="样式5"/>
    <w:basedOn w:val="28"/>
    <w:link w:val="119"/>
    <w:qFormat/>
    <w:uiPriority w:val="0"/>
    <w:pPr>
      <w:ind w:firstLine="360"/>
    </w:pPr>
  </w:style>
  <w:style w:type="paragraph" w:customStyle="1" w:styleId="74">
    <w:name w:val="样式6"/>
    <w:basedOn w:val="28"/>
    <w:link w:val="120"/>
    <w:qFormat/>
    <w:uiPriority w:val="0"/>
    <w:pPr>
      <w:ind w:firstLine="360"/>
    </w:pPr>
  </w:style>
  <w:style w:type="paragraph" w:customStyle="1" w:styleId="75">
    <w:name w:val="样式7"/>
    <w:basedOn w:val="5"/>
    <w:link w:val="121"/>
    <w:qFormat/>
    <w:uiPriority w:val="0"/>
  </w:style>
  <w:style w:type="paragraph" w:customStyle="1" w:styleId="76">
    <w:name w:val="样式8"/>
    <w:basedOn w:val="27"/>
    <w:link w:val="122"/>
    <w:qFormat/>
    <w:uiPriority w:val="0"/>
    <w:pPr>
      <w:ind w:firstLine="0" w:firstLineChars="0"/>
      <w:jc w:val="left"/>
    </w:pPr>
  </w:style>
  <w:style w:type="paragraph" w:customStyle="1" w:styleId="77">
    <w:name w:val="样式9"/>
    <w:basedOn w:val="76"/>
    <w:link w:val="123"/>
    <w:qFormat/>
    <w:uiPriority w:val="0"/>
    <w:pPr>
      <w:jc w:val="center"/>
    </w:pPr>
  </w:style>
  <w:style w:type="paragraph" w:customStyle="1" w:styleId="78">
    <w:name w:val="样式10"/>
    <w:basedOn w:val="77"/>
    <w:link w:val="124"/>
    <w:qFormat/>
    <w:uiPriority w:val="0"/>
    <w:pPr>
      <w:pBdr>
        <w:top w:val="single" w:color="76923C" w:sz="24" w:space="1"/>
      </w:pBdr>
    </w:pPr>
  </w:style>
  <w:style w:type="paragraph" w:customStyle="1" w:styleId="79">
    <w:name w:val="样式11"/>
    <w:basedOn w:val="78"/>
    <w:link w:val="125"/>
    <w:qFormat/>
    <w:uiPriority w:val="0"/>
    <w:pPr>
      <w:pBdr>
        <w:top w:val="none" w:color="auto" w:sz="0" w:space="0"/>
      </w:pBdr>
    </w:pPr>
  </w:style>
  <w:style w:type="paragraph" w:customStyle="1" w:styleId="80">
    <w:name w:val="样式12"/>
    <w:basedOn w:val="79"/>
    <w:link w:val="126"/>
    <w:qFormat/>
    <w:uiPriority w:val="0"/>
  </w:style>
  <w:style w:type="paragraph" w:customStyle="1" w:styleId="81">
    <w:name w:val="样式13"/>
    <w:basedOn w:val="75"/>
    <w:link w:val="127"/>
    <w:qFormat/>
    <w:uiPriority w:val="0"/>
  </w:style>
  <w:style w:type="paragraph" w:customStyle="1" w:styleId="82">
    <w:name w:val="2"/>
    <w:basedOn w:val="1"/>
    <w:link w:val="128"/>
    <w:qFormat/>
    <w:uiPriority w:val="0"/>
    <w:pPr>
      <w:autoSpaceDE w:val="0"/>
      <w:autoSpaceDN w:val="0"/>
      <w:adjustRightInd w:val="0"/>
      <w:ind w:firstLine="0" w:firstLineChars="0"/>
      <w:jc w:val="center"/>
    </w:pPr>
    <w:rPr>
      <w:spacing w:val="4"/>
    </w:rPr>
  </w:style>
  <w:style w:type="paragraph" w:customStyle="1" w:styleId="83">
    <w:name w:val="1"/>
    <w:basedOn w:val="1"/>
    <w:link w:val="129"/>
    <w:qFormat/>
    <w:uiPriority w:val="0"/>
    <w:pPr>
      <w:ind w:firstLine="0" w:firstLineChars="0"/>
    </w:pPr>
  </w:style>
  <w:style w:type="paragraph" w:customStyle="1" w:styleId="84">
    <w:name w:val="飞越型"/>
    <w:qFormat/>
    <w:uiPriority w:val="0"/>
    <w:pPr>
      <w:spacing w:after="200" w:line="276" w:lineRule="auto"/>
    </w:pPr>
    <w:rPr>
      <w:rFonts w:ascii="Calibri" w:hAnsi="Calibri" w:eastAsia="宋体" w:cs="黑体"/>
      <w:sz w:val="22"/>
      <w:szCs w:val="22"/>
      <w:lang w:val="en-US" w:eastAsia="zh-CN" w:bidi="ar-SA"/>
    </w:rPr>
  </w:style>
  <w:style w:type="paragraph" w:customStyle="1" w:styleId="85">
    <w:name w:val="无间隔1"/>
    <w:qFormat/>
    <w:uiPriority w:val="1"/>
    <w:pPr>
      <w:widowControl w:val="0"/>
      <w:ind w:firstLine="420" w:firstLineChars="200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customStyle="1" w:styleId="86">
    <w:name w:val="列出段落2"/>
    <w:basedOn w:val="1"/>
    <w:qFormat/>
    <w:uiPriority w:val="34"/>
    <w:pPr>
      <w:spacing w:line="240" w:lineRule="auto"/>
      <w:jc w:val="both"/>
    </w:pPr>
    <w:rPr>
      <w:rFonts w:ascii="Calibri" w:hAnsi="Calibri"/>
      <w:szCs w:val="22"/>
    </w:rPr>
  </w:style>
  <w:style w:type="character" w:customStyle="1" w:styleId="87">
    <w:name w:val="标题 5 字符"/>
    <w:link w:val="7"/>
    <w:qFormat/>
    <w:uiPriority w:val="0"/>
    <w:rPr>
      <w:b/>
      <w:bCs/>
      <w:kern w:val="2"/>
      <w:sz w:val="28"/>
      <w:szCs w:val="28"/>
    </w:rPr>
  </w:style>
  <w:style w:type="character" w:customStyle="1" w:styleId="88">
    <w:name w:val="页眉 字符"/>
    <w:link w:val="28"/>
    <w:qFormat/>
    <w:uiPriority w:val="99"/>
    <w:rPr>
      <w:kern w:val="2"/>
      <w:sz w:val="18"/>
      <w:szCs w:val="18"/>
    </w:rPr>
  </w:style>
  <w:style w:type="character" w:customStyle="1" w:styleId="89">
    <w:name w:val="标题 6 字符"/>
    <w:link w:val="8"/>
    <w:qFormat/>
    <w:uiPriority w:val="0"/>
    <w:rPr>
      <w:b/>
      <w:bCs/>
      <w:kern w:val="2"/>
      <w:sz w:val="30"/>
      <w:szCs w:val="18"/>
    </w:rPr>
  </w:style>
  <w:style w:type="character" w:customStyle="1" w:styleId="90">
    <w:name w:val="标题 字符"/>
    <w:link w:val="39"/>
    <w:qFormat/>
    <w:uiPriority w:val="0"/>
    <w:rPr>
      <w:rFonts w:ascii="Arial" w:hAnsi="Arial" w:cs="Arial"/>
      <w:b/>
      <w:bCs/>
      <w:kern w:val="2"/>
      <w:sz w:val="32"/>
      <w:szCs w:val="32"/>
    </w:rPr>
  </w:style>
  <w:style w:type="character" w:customStyle="1" w:styleId="91">
    <w:name w:val="标题 7 字符"/>
    <w:link w:val="9"/>
    <w:qFormat/>
    <w:uiPriority w:val="0"/>
    <w:rPr>
      <w:b/>
      <w:bCs/>
      <w:kern w:val="2"/>
      <w:sz w:val="30"/>
      <w:szCs w:val="18"/>
    </w:rPr>
  </w:style>
  <w:style w:type="character" w:customStyle="1" w:styleId="92">
    <w:name w:val="标题 8 字符"/>
    <w:link w:val="10"/>
    <w:qFormat/>
    <w:uiPriority w:val="0"/>
    <w:rPr>
      <w:b/>
      <w:bCs/>
      <w:kern w:val="2"/>
      <w:sz w:val="30"/>
      <w:szCs w:val="18"/>
    </w:rPr>
  </w:style>
  <w:style w:type="character" w:customStyle="1" w:styleId="93">
    <w:name w:val="正文文本缩进 2 字符"/>
    <w:link w:val="25"/>
    <w:qFormat/>
    <w:uiPriority w:val="0"/>
    <w:rPr>
      <w:kern w:val="2"/>
      <w:sz w:val="21"/>
      <w:szCs w:val="24"/>
    </w:rPr>
  </w:style>
  <w:style w:type="character" w:customStyle="1" w:styleId="94">
    <w:name w:val="标题 9 字符"/>
    <w:link w:val="11"/>
    <w:qFormat/>
    <w:uiPriority w:val="0"/>
    <w:rPr>
      <w:b/>
      <w:bCs/>
      <w:kern w:val="2"/>
      <w:sz w:val="30"/>
      <w:szCs w:val="18"/>
    </w:rPr>
  </w:style>
  <w:style w:type="character" w:customStyle="1" w:styleId="95">
    <w:name w:val="large1"/>
    <w:qFormat/>
    <w:uiPriority w:val="0"/>
    <w:rPr>
      <w:rFonts w:hint="eastAsia" w:ascii="宋体" w:hAnsi="宋体" w:eastAsia="宋体"/>
      <w:sz w:val="22"/>
      <w:szCs w:val="22"/>
    </w:rPr>
  </w:style>
  <w:style w:type="character" w:customStyle="1" w:styleId="96">
    <w:name w:val="正文文本缩进 字符"/>
    <w:link w:val="19"/>
    <w:qFormat/>
    <w:uiPriority w:val="0"/>
    <w:rPr>
      <w:kern w:val="2"/>
      <w:sz w:val="21"/>
      <w:szCs w:val="24"/>
    </w:rPr>
  </w:style>
  <w:style w:type="character" w:customStyle="1" w:styleId="97">
    <w:name w:val="纯文本 字符"/>
    <w:link w:val="22"/>
    <w:qFormat/>
    <w:uiPriority w:val="0"/>
    <w:rPr>
      <w:rFonts w:ascii="宋体" w:hAnsi="Courier New"/>
      <w:kern w:val="2"/>
      <w:sz w:val="21"/>
    </w:rPr>
  </w:style>
  <w:style w:type="character" w:customStyle="1" w:styleId="98">
    <w:name w:val="标题 2 字符"/>
    <w:link w:val="4"/>
    <w:qFormat/>
    <w:uiPriority w:val="0"/>
    <w:rPr>
      <w:b/>
      <w:bCs/>
      <w:kern w:val="2"/>
      <w:sz w:val="30"/>
      <w:szCs w:val="32"/>
    </w:rPr>
  </w:style>
  <w:style w:type="character" w:customStyle="1" w:styleId="99">
    <w:name w:val="页脚 字符"/>
    <w:link w:val="27"/>
    <w:qFormat/>
    <w:uiPriority w:val="99"/>
    <w:rPr>
      <w:kern w:val="2"/>
      <w:sz w:val="18"/>
      <w:szCs w:val="18"/>
    </w:rPr>
  </w:style>
  <w:style w:type="character" w:customStyle="1" w:styleId="100">
    <w:name w:val="批注框文本 字符"/>
    <w:link w:val="26"/>
    <w:qFormat/>
    <w:uiPriority w:val="0"/>
    <w:rPr>
      <w:kern w:val="2"/>
      <w:sz w:val="18"/>
      <w:szCs w:val="18"/>
    </w:rPr>
  </w:style>
  <w:style w:type="character" w:customStyle="1" w:styleId="101">
    <w:name w:val="批注文字 字符"/>
    <w:link w:val="16"/>
    <w:qFormat/>
    <w:uiPriority w:val="0"/>
    <w:rPr>
      <w:kern w:val="2"/>
      <w:sz w:val="21"/>
      <w:szCs w:val="24"/>
    </w:rPr>
  </w:style>
  <w:style w:type="character" w:customStyle="1" w:styleId="102">
    <w:name w:val="14_black1"/>
    <w:qFormat/>
    <w:uiPriority w:val="0"/>
    <w:rPr>
      <w:color w:val="000000"/>
      <w:sz w:val="23"/>
      <w:szCs w:val="23"/>
    </w:rPr>
  </w:style>
  <w:style w:type="character" w:customStyle="1" w:styleId="103">
    <w:name w:val="标题 1 字符"/>
    <w:link w:val="3"/>
    <w:qFormat/>
    <w:uiPriority w:val="0"/>
    <w:rPr>
      <w:b/>
      <w:bCs/>
      <w:kern w:val="44"/>
      <w:sz w:val="32"/>
      <w:szCs w:val="28"/>
    </w:rPr>
  </w:style>
  <w:style w:type="character" w:customStyle="1" w:styleId="104">
    <w:name w:val="正文文本首行缩进 字符"/>
    <w:link w:val="41"/>
    <w:qFormat/>
    <w:uiPriority w:val="0"/>
    <w:rPr>
      <w:kern w:val="2"/>
      <w:sz w:val="21"/>
      <w:szCs w:val="24"/>
    </w:rPr>
  </w:style>
  <w:style w:type="character" w:customStyle="1" w:styleId="105">
    <w:name w:val="正文文本 字符"/>
    <w:link w:val="18"/>
    <w:qFormat/>
    <w:uiPriority w:val="0"/>
    <w:rPr>
      <w:kern w:val="2"/>
      <w:sz w:val="21"/>
      <w:szCs w:val="24"/>
    </w:rPr>
  </w:style>
  <w:style w:type="character" w:customStyle="1" w:styleId="106">
    <w:name w:val="f141"/>
    <w:qFormat/>
    <w:uiPriority w:val="0"/>
    <w:rPr>
      <w:sz w:val="21"/>
      <w:szCs w:val="21"/>
    </w:rPr>
  </w:style>
  <w:style w:type="character" w:customStyle="1" w:styleId="107">
    <w:name w:val="标题 4 字符"/>
    <w:link w:val="6"/>
    <w:qFormat/>
    <w:uiPriority w:val="0"/>
    <w:rPr>
      <w:rFonts w:hAnsi="Arial"/>
      <w:b/>
      <w:bCs/>
      <w:kern w:val="2"/>
      <w:sz w:val="24"/>
      <w:szCs w:val="28"/>
    </w:rPr>
  </w:style>
  <w:style w:type="character" w:customStyle="1" w:styleId="108">
    <w:name w:val="正文文本缩进 3 字符"/>
    <w:link w:val="34"/>
    <w:qFormat/>
    <w:uiPriority w:val="0"/>
    <w:rPr>
      <w:kern w:val="2"/>
      <w:sz w:val="16"/>
      <w:szCs w:val="16"/>
    </w:rPr>
  </w:style>
  <w:style w:type="character" w:customStyle="1" w:styleId="109">
    <w:name w:val="文档结构图 字符"/>
    <w:link w:val="15"/>
    <w:qFormat/>
    <w:uiPriority w:val="0"/>
    <w:rPr>
      <w:rFonts w:ascii="宋体"/>
      <w:kern w:val="2"/>
      <w:sz w:val="18"/>
      <w:szCs w:val="18"/>
    </w:rPr>
  </w:style>
  <w:style w:type="character" w:customStyle="1" w:styleId="110">
    <w:name w:val="FA正文 Char"/>
    <w:link w:val="67"/>
    <w:qFormat/>
    <w:uiPriority w:val="0"/>
    <w:rPr>
      <w:rFonts w:ascii="宋体" w:hAnsi="宋体"/>
      <w:spacing w:val="10"/>
      <w:kern w:val="2"/>
      <w:sz w:val="24"/>
      <w:szCs w:val="24"/>
    </w:rPr>
  </w:style>
  <w:style w:type="character" w:customStyle="1" w:styleId="111">
    <w:name w:val="正文文本 3 字符"/>
    <w:link w:val="17"/>
    <w:qFormat/>
    <w:uiPriority w:val="0"/>
    <w:rPr>
      <w:kern w:val="2"/>
      <w:sz w:val="16"/>
      <w:szCs w:val="16"/>
    </w:rPr>
  </w:style>
  <w:style w:type="character" w:customStyle="1" w:styleId="112">
    <w:name w:val="正文文本 2 字符"/>
    <w:link w:val="37"/>
    <w:qFormat/>
    <w:uiPriority w:val="0"/>
    <w:rPr>
      <w:kern w:val="2"/>
      <w:sz w:val="21"/>
      <w:szCs w:val="24"/>
    </w:rPr>
  </w:style>
  <w:style w:type="character" w:customStyle="1" w:styleId="113">
    <w:name w:val="Indent Normal Char"/>
    <w:qFormat/>
    <w:uiPriority w:val="0"/>
    <w:rPr>
      <w:rFonts w:eastAsia="宋体"/>
      <w:kern w:val="2"/>
      <w:sz w:val="21"/>
      <w:szCs w:val="24"/>
      <w:lang w:val="en-US" w:eastAsia="zh-CN" w:bidi="ar-SA"/>
    </w:rPr>
  </w:style>
  <w:style w:type="character" w:customStyle="1" w:styleId="114">
    <w:name w:val="日期 字符"/>
    <w:link w:val="24"/>
    <w:qFormat/>
    <w:uiPriority w:val="0"/>
    <w:rPr>
      <w:kern w:val="2"/>
      <w:sz w:val="21"/>
      <w:szCs w:val="24"/>
    </w:rPr>
  </w:style>
  <w:style w:type="character" w:customStyle="1" w:styleId="115">
    <w:name w:val="p11b1"/>
    <w:qFormat/>
    <w:uiPriority w:val="0"/>
    <w:rPr>
      <w:color w:val="000000"/>
      <w:spacing w:val="320"/>
      <w:sz w:val="20"/>
      <w:szCs w:val="20"/>
      <w:u w:val="none"/>
    </w:rPr>
  </w:style>
  <w:style w:type="character" w:customStyle="1" w:styleId="116">
    <w:name w:val="样式2 Char"/>
    <w:link w:val="70"/>
    <w:qFormat/>
    <w:uiPriority w:val="0"/>
    <w:rPr>
      <w:b/>
      <w:kern w:val="2"/>
      <w:sz w:val="30"/>
      <w:szCs w:val="24"/>
    </w:rPr>
  </w:style>
  <w:style w:type="character" w:customStyle="1" w:styleId="117">
    <w:name w:val="样式3 Char"/>
    <w:link w:val="71"/>
    <w:qFormat/>
    <w:uiPriority w:val="0"/>
    <w:rPr>
      <w:kern w:val="2"/>
      <w:sz w:val="18"/>
      <w:szCs w:val="18"/>
    </w:rPr>
  </w:style>
  <w:style w:type="character" w:customStyle="1" w:styleId="118">
    <w:name w:val="样式4 Char1"/>
    <w:link w:val="72"/>
    <w:qFormat/>
    <w:uiPriority w:val="0"/>
    <w:rPr>
      <w:kern w:val="2"/>
      <w:sz w:val="18"/>
      <w:szCs w:val="18"/>
    </w:rPr>
  </w:style>
  <w:style w:type="character" w:customStyle="1" w:styleId="119">
    <w:name w:val="样式5 Char"/>
    <w:link w:val="73"/>
    <w:qFormat/>
    <w:uiPriority w:val="0"/>
    <w:rPr>
      <w:kern w:val="2"/>
      <w:sz w:val="18"/>
      <w:szCs w:val="18"/>
    </w:rPr>
  </w:style>
  <w:style w:type="character" w:customStyle="1" w:styleId="120">
    <w:name w:val="样式6 Char"/>
    <w:link w:val="74"/>
    <w:qFormat/>
    <w:uiPriority w:val="0"/>
    <w:rPr>
      <w:kern w:val="2"/>
      <w:sz w:val="18"/>
      <w:szCs w:val="18"/>
    </w:rPr>
  </w:style>
  <w:style w:type="character" w:customStyle="1" w:styleId="121">
    <w:name w:val="样式7 Char"/>
    <w:link w:val="75"/>
    <w:qFormat/>
    <w:uiPriority w:val="0"/>
    <w:rPr>
      <w:b/>
      <w:bCs/>
      <w:kern w:val="2"/>
      <w:sz w:val="28"/>
      <w:szCs w:val="18"/>
    </w:rPr>
  </w:style>
  <w:style w:type="character" w:customStyle="1" w:styleId="122">
    <w:name w:val="样式8 Char"/>
    <w:link w:val="76"/>
    <w:qFormat/>
    <w:uiPriority w:val="0"/>
    <w:rPr>
      <w:kern w:val="2"/>
      <w:sz w:val="18"/>
      <w:szCs w:val="18"/>
    </w:rPr>
  </w:style>
  <w:style w:type="character" w:customStyle="1" w:styleId="123">
    <w:name w:val="样式9 Char"/>
    <w:link w:val="77"/>
    <w:qFormat/>
    <w:uiPriority w:val="0"/>
    <w:rPr>
      <w:kern w:val="2"/>
      <w:sz w:val="18"/>
      <w:szCs w:val="18"/>
    </w:rPr>
  </w:style>
  <w:style w:type="character" w:customStyle="1" w:styleId="124">
    <w:name w:val="样式10 Char"/>
    <w:link w:val="78"/>
    <w:qFormat/>
    <w:uiPriority w:val="0"/>
    <w:rPr>
      <w:kern w:val="2"/>
      <w:sz w:val="18"/>
      <w:szCs w:val="18"/>
    </w:rPr>
  </w:style>
  <w:style w:type="character" w:customStyle="1" w:styleId="125">
    <w:name w:val="样式11 Char"/>
    <w:link w:val="79"/>
    <w:qFormat/>
    <w:uiPriority w:val="0"/>
    <w:rPr>
      <w:kern w:val="2"/>
      <w:sz w:val="18"/>
      <w:szCs w:val="18"/>
    </w:rPr>
  </w:style>
  <w:style w:type="character" w:customStyle="1" w:styleId="126">
    <w:name w:val="样式12 Char"/>
    <w:link w:val="80"/>
    <w:qFormat/>
    <w:uiPriority w:val="0"/>
    <w:rPr>
      <w:kern w:val="2"/>
      <w:sz w:val="18"/>
      <w:szCs w:val="18"/>
    </w:rPr>
  </w:style>
  <w:style w:type="character" w:customStyle="1" w:styleId="127">
    <w:name w:val="样式13 Char"/>
    <w:link w:val="81"/>
    <w:qFormat/>
    <w:uiPriority w:val="0"/>
    <w:rPr>
      <w:b/>
      <w:bCs/>
      <w:kern w:val="2"/>
      <w:sz w:val="28"/>
      <w:szCs w:val="18"/>
    </w:rPr>
  </w:style>
  <w:style w:type="character" w:customStyle="1" w:styleId="128">
    <w:name w:val="2 Char"/>
    <w:link w:val="82"/>
    <w:qFormat/>
    <w:uiPriority w:val="0"/>
    <w:rPr>
      <w:spacing w:val="4"/>
      <w:kern w:val="2"/>
      <w:sz w:val="21"/>
      <w:szCs w:val="24"/>
    </w:rPr>
  </w:style>
  <w:style w:type="character" w:customStyle="1" w:styleId="129">
    <w:name w:val="1 Char"/>
    <w:link w:val="83"/>
    <w:qFormat/>
    <w:uiPriority w:val="0"/>
    <w:rPr>
      <w:kern w:val="2"/>
      <w:sz w:val="21"/>
      <w:szCs w:val="24"/>
    </w:rPr>
  </w:style>
  <w:style w:type="character" w:customStyle="1" w:styleId="130">
    <w:name w:val="批注主题 字符"/>
    <w:link w:val="40"/>
    <w:semiHidden/>
    <w:qFormat/>
    <w:uiPriority w:val="0"/>
    <w:rPr>
      <w:b/>
      <w:bCs/>
      <w:kern w:val="2"/>
      <w:sz w:val="21"/>
      <w:szCs w:val="24"/>
    </w:rPr>
  </w:style>
  <w:style w:type="character" w:customStyle="1" w:styleId="131">
    <w:name w:val="样式1 Char"/>
    <w:link w:val="61"/>
    <w:qFormat/>
    <w:uiPriority w:val="0"/>
    <w:rPr>
      <w:kern w:val="2"/>
      <w:sz w:val="24"/>
      <w:szCs w:val="24"/>
    </w:rPr>
  </w:style>
  <w:style w:type="paragraph" w:styleId="132">
    <w:name w:val="No Spacing"/>
    <w:qFormat/>
    <w:uiPriority w:val="1"/>
    <w:pPr>
      <w:widowControl w:val="0"/>
      <w:spacing w:line="360" w:lineRule="auto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customStyle="1" w:styleId="133">
    <w:name w:val="WPSOffice手动目录 1"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134">
    <w:name w:val="WPSOffice手动目录 2"/>
    <w:qFormat/>
    <w:uiPriority w:val="0"/>
    <w:pPr>
      <w:ind w:leftChars="200"/>
    </w:pPr>
    <w:rPr>
      <w:rFonts w:ascii="Times New Roman" w:hAnsi="Times New Roman" w:eastAsia="宋体" w:cs="Times New Roman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9" Type="http://schemas.openxmlformats.org/officeDocument/2006/relationships/fontTable" Target="fontTable.xml"/><Relationship Id="rId88" Type="http://schemas.openxmlformats.org/officeDocument/2006/relationships/customXml" Target="../customXml/item2.xml"/><Relationship Id="rId87" Type="http://schemas.openxmlformats.org/officeDocument/2006/relationships/numbering" Target="numbering.xml"/><Relationship Id="rId86" Type="http://schemas.openxmlformats.org/officeDocument/2006/relationships/customXml" Target="../customXml/item1.xml"/><Relationship Id="rId85" Type="http://schemas.openxmlformats.org/officeDocument/2006/relationships/image" Target="media/image75.png"/><Relationship Id="rId84" Type="http://schemas.openxmlformats.org/officeDocument/2006/relationships/image" Target="media/image74.png"/><Relationship Id="rId83" Type="http://schemas.openxmlformats.org/officeDocument/2006/relationships/image" Target="media/image73.png"/><Relationship Id="rId82" Type="http://schemas.openxmlformats.org/officeDocument/2006/relationships/image" Target="media/image72.png"/><Relationship Id="rId81" Type="http://schemas.openxmlformats.org/officeDocument/2006/relationships/image" Target="media/image71.png"/><Relationship Id="rId80" Type="http://schemas.openxmlformats.org/officeDocument/2006/relationships/image" Target="media/image70.png"/><Relationship Id="rId8" Type="http://schemas.openxmlformats.org/officeDocument/2006/relationships/footer" Target="footer1.xml"/><Relationship Id="rId79" Type="http://schemas.openxmlformats.org/officeDocument/2006/relationships/image" Target="media/image69.png"/><Relationship Id="rId78" Type="http://schemas.openxmlformats.org/officeDocument/2006/relationships/image" Target="media/image68.png"/><Relationship Id="rId77" Type="http://schemas.openxmlformats.org/officeDocument/2006/relationships/image" Target="media/image67.png"/><Relationship Id="rId76" Type="http://schemas.openxmlformats.org/officeDocument/2006/relationships/image" Target="media/image66.png"/><Relationship Id="rId75" Type="http://schemas.openxmlformats.org/officeDocument/2006/relationships/image" Target="media/image65.png"/><Relationship Id="rId74" Type="http://schemas.openxmlformats.org/officeDocument/2006/relationships/image" Target="media/image64.png"/><Relationship Id="rId73" Type="http://schemas.openxmlformats.org/officeDocument/2006/relationships/image" Target="media/image63.png"/><Relationship Id="rId72" Type="http://schemas.openxmlformats.org/officeDocument/2006/relationships/image" Target="media/image62.png"/><Relationship Id="rId71" Type="http://schemas.openxmlformats.org/officeDocument/2006/relationships/image" Target="media/image61.png"/><Relationship Id="rId70" Type="http://schemas.openxmlformats.org/officeDocument/2006/relationships/image" Target="media/image60.png"/><Relationship Id="rId7" Type="http://schemas.openxmlformats.org/officeDocument/2006/relationships/header" Target="header3.xml"/><Relationship Id="rId69" Type="http://schemas.openxmlformats.org/officeDocument/2006/relationships/image" Target="media/image59.png"/><Relationship Id="rId68" Type="http://schemas.openxmlformats.org/officeDocument/2006/relationships/image" Target="media/image58.png"/><Relationship Id="rId67" Type="http://schemas.openxmlformats.org/officeDocument/2006/relationships/image" Target="media/image57.png"/><Relationship Id="rId66" Type="http://schemas.openxmlformats.org/officeDocument/2006/relationships/image" Target="media/image56.png"/><Relationship Id="rId65" Type="http://schemas.openxmlformats.org/officeDocument/2006/relationships/image" Target="media/image55.png"/><Relationship Id="rId64" Type="http://schemas.openxmlformats.org/officeDocument/2006/relationships/image" Target="media/image54.png"/><Relationship Id="rId63" Type="http://schemas.openxmlformats.org/officeDocument/2006/relationships/image" Target="media/image53.png"/><Relationship Id="rId62" Type="http://schemas.openxmlformats.org/officeDocument/2006/relationships/image" Target="media/image52.png"/><Relationship Id="rId61" Type="http://schemas.openxmlformats.org/officeDocument/2006/relationships/image" Target="media/image51.png"/><Relationship Id="rId60" Type="http://schemas.openxmlformats.org/officeDocument/2006/relationships/image" Target="media/image50.png"/><Relationship Id="rId6" Type="http://schemas.openxmlformats.org/officeDocument/2006/relationships/header" Target="header2.xml"/><Relationship Id="rId59" Type="http://schemas.openxmlformats.org/officeDocument/2006/relationships/image" Target="media/image49.png"/><Relationship Id="rId58" Type="http://schemas.openxmlformats.org/officeDocument/2006/relationships/image" Target="media/image48.png"/><Relationship Id="rId57" Type="http://schemas.openxmlformats.org/officeDocument/2006/relationships/image" Target="media/image47.png"/><Relationship Id="rId56" Type="http://schemas.openxmlformats.org/officeDocument/2006/relationships/image" Target="media/image46.png"/><Relationship Id="rId55" Type="http://schemas.openxmlformats.org/officeDocument/2006/relationships/image" Target="media/image45.png"/><Relationship Id="rId54" Type="http://schemas.openxmlformats.org/officeDocument/2006/relationships/image" Target="media/image44.png"/><Relationship Id="rId53" Type="http://schemas.openxmlformats.org/officeDocument/2006/relationships/image" Target="media/image43.png"/><Relationship Id="rId52" Type="http://schemas.openxmlformats.org/officeDocument/2006/relationships/image" Target="media/image42.png"/><Relationship Id="rId51" Type="http://schemas.openxmlformats.org/officeDocument/2006/relationships/image" Target="media/image41.png"/><Relationship Id="rId50" Type="http://schemas.openxmlformats.org/officeDocument/2006/relationships/image" Target="media/image40.png"/><Relationship Id="rId5" Type="http://schemas.openxmlformats.org/officeDocument/2006/relationships/header" Target="header1.xml"/><Relationship Id="rId49" Type="http://schemas.openxmlformats.org/officeDocument/2006/relationships/image" Target="media/image39.png"/><Relationship Id="rId48" Type="http://schemas.openxmlformats.org/officeDocument/2006/relationships/image" Target="media/image38.png"/><Relationship Id="rId47" Type="http://schemas.openxmlformats.org/officeDocument/2006/relationships/image" Target="media/image37.png"/><Relationship Id="rId46" Type="http://schemas.openxmlformats.org/officeDocument/2006/relationships/image" Target="media/image36.png"/><Relationship Id="rId45" Type="http://schemas.openxmlformats.org/officeDocument/2006/relationships/image" Target="media/image35.png"/><Relationship Id="rId44" Type="http://schemas.openxmlformats.org/officeDocument/2006/relationships/image" Target="media/image34.png"/><Relationship Id="rId43" Type="http://schemas.openxmlformats.org/officeDocument/2006/relationships/image" Target="media/image33.png"/><Relationship Id="rId42" Type="http://schemas.openxmlformats.org/officeDocument/2006/relationships/image" Target="media/image32.png"/><Relationship Id="rId41" Type="http://schemas.openxmlformats.org/officeDocument/2006/relationships/image" Target="media/image31.png"/><Relationship Id="rId40" Type="http://schemas.openxmlformats.org/officeDocument/2006/relationships/image" Target="media/image30.png"/><Relationship Id="rId4" Type="http://schemas.openxmlformats.org/officeDocument/2006/relationships/endnotes" Target="endnotes.xml"/><Relationship Id="rId39" Type="http://schemas.openxmlformats.org/officeDocument/2006/relationships/image" Target="media/image29.png"/><Relationship Id="rId38" Type="http://schemas.openxmlformats.org/officeDocument/2006/relationships/image" Target="media/image28.png"/><Relationship Id="rId37" Type="http://schemas.openxmlformats.org/officeDocument/2006/relationships/image" Target="media/image27.png"/><Relationship Id="rId36" Type="http://schemas.openxmlformats.org/officeDocument/2006/relationships/image" Target="media/image26.png"/><Relationship Id="rId35" Type="http://schemas.openxmlformats.org/officeDocument/2006/relationships/image" Target="media/image25.png"/><Relationship Id="rId34" Type="http://schemas.openxmlformats.org/officeDocument/2006/relationships/image" Target="media/image24.png"/><Relationship Id="rId33" Type="http://schemas.openxmlformats.org/officeDocument/2006/relationships/image" Target="media/image23.png"/><Relationship Id="rId32" Type="http://schemas.openxmlformats.org/officeDocument/2006/relationships/image" Target="media/image22.png"/><Relationship Id="rId31" Type="http://schemas.openxmlformats.org/officeDocument/2006/relationships/image" Target="media/image21.png"/><Relationship Id="rId30" Type="http://schemas.openxmlformats.org/officeDocument/2006/relationships/image" Target="media/image20.png"/><Relationship Id="rId3" Type="http://schemas.openxmlformats.org/officeDocument/2006/relationships/footnotes" Target="footnotes.xml"/><Relationship Id="rId29" Type="http://schemas.openxmlformats.org/officeDocument/2006/relationships/image" Target="media/image19.png"/><Relationship Id="rId28" Type="http://schemas.openxmlformats.org/officeDocument/2006/relationships/image" Target="media/image18.png"/><Relationship Id="rId27" Type="http://schemas.openxmlformats.org/officeDocument/2006/relationships/image" Target="media/image17.png"/><Relationship Id="rId26" Type="http://schemas.openxmlformats.org/officeDocument/2006/relationships/image" Target="media/image16.png"/><Relationship Id="rId25" Type="http://schemas.openxmlformats.org/officeDocument/2006/relationships/image" Target="media/image15.png"/><Relationship Id="rId24" Type="http://schemas.openxmlformats.org/officeDocument/2006/relationships/image" Target="media/image14.png"/><Relationship Id="rId23" Type="http://schemas.openxmlformats.org/officeDocument/2006/relationships/image" Target="media/image13.png"/><Relationship Id="rId22" Type="http://schemas.openxmlformats.org/officeDocument/2006/relationships/image" Target="media/image12.png"/><Relationship Id="rId21" Type="http://schemas.openxmlformats.org/officeDocument/2006/relationships/image" Target="media/image11.png"/><Relationship Id="rId20" Type="http://schemas.openxmlformats.org/officeDocument/2006/relationships/image" Target="media/image10.png"/><Relationship Id="rId2" Type="http://schemas.openxmlformats.org/officeDocument/2006/relationships/settings" Target="settings.xml"/><Relationship Id="rId19" Type="http://schemas.openxmlformats.org/officeDocument/2006/relationships/image" Target="media/image9.png"/><Relationship Id="rId18" Type="http://schemas.openxmlformats.org/officeDocument/2006/relationships/image" Target="media/image8.png"/><Relationship Id="rId17" Type="http://schemas.openxmlformats.org/officeDocument/2006/relationships/image" Target="media/image7.png"/><Relationship Id="rId16" Type="http://schemas.openxmlformats.org/officeDocument/2006/relationships/image" Target="media/image6.png"/><Relationship Id="rId15" Type="http://schemas.openxmlformats.org/officeDocument/2006/relationships/image" Target="media/image5.png"/><Relationship Id="rId14" Type="http://schemas.openxmlformats.org/officeDocument/2006/relationships/image" Target="media/image4.png"/><Relationship Id="rId13" Type="http://schemas.openxmlformats.org/officeDocument/2006/relationships/image" Target="media/image3.png"/><Relationship Id="rId12" Type="http://schemas.openxmlformats.org/officeDocument/2006/relationships/image" Target="media/image2.png"/><Relationship Id="rId11" Type="http://schemas.openxmlformats.org/officeDocument/2006/relationships/theme" Target="theme/theme1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Tahoma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Tahoma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E4F6E9B-0EC4-42F4-8F7F-7BD42DA7C91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江苏国泰新点软件有限公司  0512-58188000</Company>
  <Pages>54</Pages>
  <Words>1224</Words>
  <Characters>6978</Characters>
  <Lines>58</Lines>
  <Paragraphs>16</Paragraphs>
  <TotalTime>1</TotalTime>
  <ScaleCrop>false</ScaleCrop>
  <LinksUpToDate>false</LinksUpToDate>
  <CharactersWithSpaces>8186</CharactersWithSpaces>
  <Application>WPS Office_11.8.2.11019_F1E327BC-269C-435d-A152-05C5408002CA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2014-05-09T02:07:00Z</dcterms:created>
  <dc:creator>黄晨;陆俊峰</dc:creator>
  <cp:lastModifiedBy>NTKO</cp:lastModifiedBy>
  <dcterms:modified xsi:type="dcterms:W3CDTF">2025-02-16T08:00:21Z</dcterms:modified>
  <dc:title>操作手册</dc:title>
  <cp:revision>752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2052-11.8.2.11019</vt:lpwstr>
  </property>
  <property fmtid="{D5CDD505-2E9C-101B-9397-08002B2CF9AE}" pid="3" name="ICV">
    <vt:lpwstr>C6A29EEACF3B400783E5FC3BC0AD2BF0</vt:lpwstr>
  </property>
</Properties>
</file>